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E71" w:rsidRPr="008F62DD" w:rsidRDefault="00AB6E71" w:rsidP="00AB2657">
      <w:pPr>
        <w:jc w:val="center"/>
        <w:rPr>
          <w:b/>
          <w:sz w:val="28"/>
          <w:szCs w:val="28"/>
        </w:rPr>
      </w:pPr>
      <w:r w:rsidRPr="008F62DD">
        <w:rPr>
          <w:b/>
          <w:sz w:val="28"/>
          <w:szCs w:val="28"/>
        </w:rPr>
        <w:t>EDITAL DE CREDENCIAMENTO</w:t>
      </w:r>
      <w:r w:rsidR="00DF29BC" w:rsidRPr="008F62DD">
        <w:rPr>
          <w:b/>
          <w:sz w:val="28"/>
          <w:szCs w:val="28"/>
        </w:rPr>
        <w:t xml:space="preserve"> Nº 001/2019</w:t>
      </w:r>
    </w:p>
    <w:p w:rsidR="00AB6E71" w:rsidRPr="008F62DD" w:rsidRDefault="00AB6E71" w:rsidP="00AB2657">
      <w:pPr>
        <w:jc w:val="center"/>
        <w:rPr>
          <w:b/>
          <w:sz w:val="28"/>
          <w:szCs w:val="28"/>
        </w:rPr>
      </w:pPr>
      <w:r w:rsidRPr="008F62DD">
        <w:rPr>
          <w:b/>
          <w:sz w:val="28"/>
          <w:szCs w:val="28"/>
        </w:rPr>
        <w:t>INSTITUIÇÕES FINANCEIRAS (ADMINISTRADORAS E GESTORAS)</w:t>
      </w:r>
    </w:p>
    <w:p w:rsidR="00AB2657" w:rsidRDefault="00AB2657" w:rsidP="00AB2657">
      <w:pPr>
        <w:jc w:val="both"/>
      </w:pPr>
    </w:p>
    <w:p w:rsidR="004513A4" w:rsidRPr="008F62DD" w:rsidRDefault="004513A4" w:rsidP="00AB2657">
      <w:pPr>
        <w:jc w:val="both"/>
        <w:rPr>
          <w:sz w:val="24"/>
          <w:szCs w:val="24"/>
        </w:rPr>
      </w:pPr>
      <w:r w:rsidRPr="008F62DD">
        <w:rPr>
          <w:sz w:val="24"/>
          <w:szCs w:val="24"/>
        </w:rPr>
        <w:t>O Superintendente do</w:t>
      </w:r>
      <w:r w:rsidR="008F62DD" w:rsidRPr="008F62DD">
        <w:rPr>
          <w:sz w:val="24"/>
          <w:szCs w:val="24"/>
        </w:rPr>
        <w:t xml:space="preserve"> </w:t>
      </w:r>
      <w:r w:rsidR="008F62DD" w:rsidRPr="00DE11FB">
        <w:rPr>
          <w:b/>
          <w:sz w:val="24"/>
          <w:szCs w:val="24"/>
        </w:rPr>
        <w:t>INSTITUTO DOS SERVIDORES PÚBLICOS DE SANTA MÔNICA</w:t>
      </w:r>
      <w:r w:rsidRPr="008F62DD">
        <w:rPr>
          <w:sz w:val="24"/>
          <w:szCs w:val="24"/>
        </w:rPr>
        <w:t>, denominado simplesmente como INSTITUTO, no uso de suas atribuições legais e, em conformidade com a Resolução nº 3.922/2010 do Banco Central do Brasil, a Portaria n° 519/2011 do Ministério da Previdência Social e alterações posteriores, resolve:</w:t>
      </w:r>
    </w:p>
    <w:p w:rsidR="00A92799" w:rsidRPr="008F62DD" w:rsidRDefault="00A92799" w:rsidP="00DD1008">
      <w:pPr>
        <w:pStyle w:val="PargrafodaLista"/>
        <w:numPr>
          <w:ilvl w:val="0"/>
          <w:numId w:val="1"/>
        </w:numPr>
        <w:ind w:left="357" w:hanging="357"/>
        <w:contextualSpacing w:val="0"/>
        <w:jc w:val="both"/>
        <w:rPr>
          <w:b/>
          <w:sz w:val="24"/>
          <w:szCs w:val="24"/>
        </w:rPr>
      </w:pPr>
      <w:r w:rsidRPr="008F62DD">
        <w:rPr>
          <w:b/>
          <w:sz w:val="24"/>
          <w:szCs w:val="24"/>
        </w:rPr>
        <w:t>DISPOSIÇÕES PRELIMINARES</w:t>
      </w:r>
    </w:p>
    <w:p w:rsidR="00F45C64" w:rsidRPr="008F62DD" w:rsidRDefault="004513A4" w:rsidP="00F45C64">
      <w:pPr>
        <w:pStyle w:val="PargrafodaLista"/>
        <w:numPr>
          <w:ilvl w:val="1"/>
          <w:numId w:val="1"/>
        </w:numPr>
        <w:jc w:val="both"/>
        <w:rPr>
          <w:sz w:val="24"/>
          <w:szCs w:val="24"/>
        </w:rPr>
      </w:pPr>
      <w:r w:rsidRPr="008F62DD">
        <w:rPr>
          <w:sz w:val="24"/>
          <w:szCs w:val="24"/>
        </w:rPr>
        <w:t xml:space="preserve">Conforme preceito legal apresentado, somente poderão receber valores para investimentos, as empresas devidamente </w:t>
      </w:r>
      <w:r w:rsidR="00776542" w:rsidRPr="008F62DD">
        <w:rPr>
          <w:sz w:val="24"/>
          <w:szCs w:val="24"/>
        </w:rPr>
        <w:t>c</w:t>
      </w:r>
      <w:r w:rsidRPr="008F62DD">
        <w:rPr>
          <w:sz w:val="24"/>
          <w:szCs w:val="24"/>
        </w:rPr>
        <w:t>redenciadas junto a este INSTITUTO, por meio de seu processo de Credenciamento e, atendendo a todos os preceitos dispostos neste Edital.</w:t>
      </w:r>
    </w:p>
    <w:p w:rsidR="004513A4" w:rsidRPr="008F62DD" w:rsidRDefault="004513A4" w:rsidP="004513A4">
      <w:pPr>
        <w:pStyle w:val="PargrafodaLista"/>
        <w:ind w:left="792"/>
        <w:jc w:val="both"/>
        <w:rPr>
          <w:sz w:val="24"/>
          <w:szCs w:val="24"/>
        </w:rPr>
      </w:pPr>
    </w:p>
    <w:p w:rsidR="00737107" w:rsidRPr="008F62DD" w:rsidRDefault="00737107" w:rsidP="00F45C64">
      <w:pPr>
        <w:pStyle w:val="PargrafodaLista"/>
        <w:numPr>
          <w:ilvl w:val="1"/>
          <w:numId w:val="1"/>
        </w:numPr>
        <w:jc w:val="both"/>
        <w:rPr>
          <w:sz w:val="24"/>
          <w:szCs w:val="24"/>
        </w:rPr>
      </w:pPr>
      <w:r w:rsidRPr="008F62DD">
        <w:rPr>
          <w:sz w:val="24"/>
          <w:szCs w:val="24"/>
        </w:rPr>
        <w:t>Quem não atender as exigências deste Edital ficará impossibilitado de receber e investir valores pertencentes a este INSTITUTO.</w:t>
      </w:r>
    </w:p>
    <w:p w:rsidR="00300F7F" w:rsidRPr="008F62DD" w:rsidRDefault="00300F7F" w:rsidP="00300F7F">
      <w:pPr>
        <w:pStyle w:val="PargrafodaLista"/>
        <w:rPr>
          <w:sz w:val="24"/>
          <w:szCs w:val="24"/>
        </w:rPr>
      </w:pPr>
    </w:p>
    <w:p w:rsidR="00300F7F" w:rsidRPr="008F62DD" w:rsidRDefault="00300F7F" w:rsidP="00F45C64">
      <w:pPr>
        <w:pStyle w:val="PargrafodaLista"/>
        <w:numPr>
          <w:ilvl w:val="1"/>
          <w:numId w:val="1"/>
        </w:numPr>
        <w:jc w:val="both"/>
        <w:rPr>
          <w:sz w:val="24"/>
          <w:szCs w:val="24"/>
        </w:rPr>
      </w:pPr>
      <w:r w:rsidRPr="008F62DD">
        <w:rPr>
          <w:sz w:val="24"/>
          <w:szCs w:val="24"/>
        </w:rPr>
        <w:t>O Credenciamento é uma habilitação para futuros e propensos investimentos, não sendo, portanto, considerado como certa a escolha do credenciado para receber recursos do INSTITUTO.</w:t>
      </w:r>
    </w:p>
    <w:p w:rsidR="00737107" w:rsidRPr="008F62DD" w:rsidRDefault="00737107" w:rsidP="00737107">
      <w:pPr>
        <w:pStyle w:val="PargrafodaLista"/>
        <w:rPr>
          <w:sz w:val="24"/>
          <w:szCs w:val="24"/>
        </w:rPr>
      </w:pPr>
    </w:p>
    <w:p w:rsidR="00AB2657" w:rsidRPr="008F62DD" w:rsidRDefault="00AB2657" w:rsidP="00DD1008">
      <w:pPr>
        <w:pStyle w:val="PargrafodaLista"/>
        <w:numPr>
          <w:ilvl w:val="0"/>
          <w:numId w:val="1"/>
        </w:numPr>
        <w:ind w:left="357" w:hanging="357"/>
        <w:contextualSpacing w:val="0"/>
        <w:jc w:val="both"/>
        <w:rPr>
          <w:b/>
          <w:sz w:val="24"/>
          <w:szCs w:val="24"/>
        </w:rPr>
      </w:pPr>
      <w:r w:rsidRPr="008F62DD">
        <w:rPr>
          <w:b/>
          <w:sz w:val="24"/>
          <w:szCs w:val="24"/>
        </w:rPr>
        <w:t>DO OBJETO</w:t>
      </w:r>
    </w:p>
    <w:p w:rsidR="00DD1008" w:rsidRPr="008F62DD" w:rsidRDefault="00AB6E71" w:rsidP="00DD1008">
      <w:pPr>
        <w:pStyle w:val="PargrafodaLista"/>
        <w:numPr>
          <w:ilvl w:val="1"/>
          <w:numId w:val="1"/>
        </w:numPr>
        <w:contextualSpacing w:val="0"/>
        <w:jc w:val="both"/>
        <w:rPr>
          <w:sz w:val="24"/>
          <w:szCs w:val="24"/>
        </w:rPr>
      </w:pPr>
      <w:r w:rsidRPr="008F62DD">
        <w:rPr>
          <w:sz w:val="24"/>
          <w:szCs w:val="24"/>
        </w:rPr>
        <w:t xml:space="preserve">Torna-se público </w:t>
      </w:r>
      <w:r w:rsidR="00AB2657" w:rsidRPr="008F62DD">
        <w:rPr>
          <w:sz w:val="24"/>
          <w:szCs w:val="24"/>
        </w:rPr>
        <w:t>o presente Edital</w:t>
      </w:r>
      <w:r w:rsidRPr="008F62DD">
        <w:rPr>
          <w:sz w:val="24"/>
          <w:szCs w:val="24"/>
        </w:rPr>
        <w:t xml:space="preserve"> para o </w:t>
      </w:r>
      <w:r w:rsidR="00737107" w:rsidRPr="008F62DD">
        <w:rPr>
          <w:sz w:val="24"/>
          <w:szCs w:val="24"/>
        </w:rPr>
        <w:t>C</w:t>
      </w:r>
      <w:r w:rsidRPr="008F62DD">
        <w:rPr>
          <w:sz w:val="24"/>
          <w:szCs w:val="24"/>
        </w:rPr>
        <w:t>redenciamento, sem qualquer exclusividade</w:t>
      </w:r>
      <w:r w:rsidR="00737107" w:rsidRPr="008F62DD">
        <w:rPr>
          <w:sz w:val="24"/>
          <w:szCs w:val="24"/>
        </w:rPr>
        <w:t xml:space="preserve"> e/ou ônus</w:t>
      </w:r>
      <w:r w:rsidRPr="008F62DD">
        <w:rPr>
          <w:sz w:val="24"/>
          <w:szCs w:val="24"/>
        </w:rPr>
        <w:t>, de Instituições Gestoras</w:t>
      </w:r>
      <w:r w:rsidR="00AB2657" w:rsidRPr="008F62DD">
        <w:rPr>
          <w:sz w:val="24"/>
          <w:szCs w:val="24"/>
        </w:rPr>
        <w:t xml:space="preserve"> e</w:t>
      </w:r>
      <w:r w:rsidRPr="008F62DD">
        <w:rPr>
          <w:sz w:val="24"/>
          <w:szCs w:val="24"/>
        </w:rPr>
        <w:t xml:space="preserve"> Administra</w:t>
      </w:r>
      <w:r w:rsidR="00AB2657" w:rsidRPr="008F62DD">
        <w:rPr>
          <w:sz w:val="24"/>
          <w:szCs w:val="24"/>
        </w:rPr>
        <w:t>doras</w:t>
      </w:r>
      <w:r w:rsidRPr="008F62DD">
        <w:rPr>
          <w:sz w:val="24"/>
          <w:szCs w:val="24"/>
        </w:rPr>
        <w:t xml:space="preserve"> de Fundos de Investimentos</w:t>
      </w:r>
      <w:r w:rsidR="00737107" w:rsidRPr="008F62DD">
        <w:rPr>
          <w:sz w:val="24"/>
          <w:szCs w:val="24"/>
        </w:rPr>
        <w:t>, devidamente</w:t>
      </w:r>
      <w:r w:rsidRPr="008F62DD">
        <w:rPr>
          <w:sz w:val="24"/>
          <w:szCs w:val="24"/>
        </w:rPr>
        <w:t xml:space="preserve"> regulamentad</w:t>
      </w:r>
      <w:r w:rsidR="00737107" w:rsidRPr="008F62DD">
        <w:rPr>
          <w:sz w:val="24"/>
          <w:szCs w:val="24"/>
        </w:rPr>
        <w:t>a</w:t>
      </w:r>
      <w:r w:rsidRPr="008F62DD">
        <w:rPr>
          <w:sz w:val="24"/>
          <w:szCs w:val="24"/>
        </w:rPr>
        <w:t>s pela Comissão de Valores Mobiliários</w:t>
      </w:r>
      <w:r w:rsidR="00737107" w:rsidRPr="008F62DD">
        <w:rPr>
          <w:sz w:val="24"/>
          <w:szCs w:val="24"/>
        </w:rPr>
        <w:t xml:space="preserve"> (CVM)</w:t>
      </w:r>
      <w:r w:rsidRPr="008F62DD">
        <w:rPr>
          <w:sz w:val="24"/>
          <w:szCs w:val="24"/>
        </w:rPr>
        <w:t xml:space="preserve">, passíveis de </w:t>
      </w:r>
      <w:r w:rsidR="00AB2657" w:rsidRPr="008F62DD">
        <w:rPr>
          <w:sz w:val="24"/>
          <w:szCs w:val="24"/>
        </w:rPr>
        <w:t>receber</w:t>
      </w:r>
      <w:r w:rsidRPr="008F62DD">
        <w:rPr>
          <w:sz w:val="24"/>
          <w:szCs w:val="24"/>
        </w:rPr>
        <w:t xml:space="preserve"> recursos </w:t>
      </w:r>
      <w:r w:rsidR="00737107" w:rsidRPr="008F62DD">
        <w:rPr>
          <w:sz w:val="24"/>
          <w:szCs w:val="24"/>
        </w:rPr>
        <w:t>deste INSTITUTO</w:t>
      </w:r>
      <w:r w:rsidRPr="008F62DD">
        <w:rPr>
          <w:sz w:val="24"/>
          <w:szCs w:val="24"/>
        </w:rPr>
        <w:t>, com fiel observância às resoluções e demais normas que regulamentam a aplicação de recursos previdenciários no mercado financeiro nacional.</w:t>
      </w:r>
    </w:p>
    <w:p w:rsidR="00956F9F" w:rsidRPr="008F62DD" w:rsidRDefault="00AB6E71" w:rsidP="00956F9F">
      <w:pPr>
        <w:pStyle w:val="PargrafodaLista"/>
        <w:numPr>
          <w:ilvl w:val="1"/>
          <w:numId w:val="1"/>
        </w:numPr>
        <w:spacing w:after="0"/>
        <w:contextualSpacing w:val="0"/>
        <w:jc w:val="both"/>
        <w:rPr>
          <w:sz w:val="24"/>
          <w:szCs w:val="24"/>
        </w:rPr>
      </w:pPr>
      <w:r w:rsidRPr="008F62DD">
        <w:rPr>
          <w:sz w:val="24"/>
          <w:szCs w:val="24"/>
        </w:rPr>
        <w:t>É requisito prévio para a aplicação de recursos do INSTITUTO</w:t>
      </w:r>
      <w:r w:rsidR="00AB2657" w:rsidRPr="008F62DD">
        <w:rPr>
          <w:sz w:val="24"/>
          <w:szCs w:val="24"/>
        </w:rPr>
        <w:t xml:space="preserve"> </w:t>
      </w:r>
      <w:r w:rsidRPr="008F62DD">
        <w:rPr>
          <w:sz w:val="24"/>
          <w:szCs w:val="24"/>
        </w:rPr>
        <w:t>que tod</w:t>
      </w:r>
      <w:r w:rsidR="00AB2657" w:rsidRPr="008F62DD">
        <w:rPr>
          <w:sz w:val="24"/>
          <w:szCs w:val="24"/>
        </w:rPr>
        <w:t>a</w:t>
      </w:r>
      <w:r w:rsidRPr="008F62DD">
        <w:rPr>
          <w:sz w:val="24"/>
          <w:szCs w:val="24"/>
        </w:rPr>
        <w:t>s</w:t>
      </w:r>
      <w:r w:rsidR="00AB2657" w:rsidRPr="008F62DD">
        <w:rPr>
          <w:sz w:val="24"/>
          <w:szCs w:val="24"/>
        </w:rPr>
        <w:t xml:space="preserve"> as</w:t>
      </w:r>
      <w:r w:rsidRPr="008F62DD">
        <w:rPr>
          <w:sz w:val="24"/>
          <w:szCs w:val="24"/>
        </w:rPr>
        <w:t xml:space="preserve"> Instituições</w:t>
      </w:r>
      <w:r w:rsidR="00AB2657" w:rsidRPr="008F62DD">
        <w:rPr>
          <w:sz w:val="24"/>
          <w:szCs w:val="24"/>
        </w:rPr>
        <w:t xml:space="preserve"> </w:t>
      </w:r>
      <w:r w:rsidRPr="008F62DD">
        <w:rPr>
          <w:sz w:val="24"/>
          <w:szCs w:val="24"/>
        </w:rPr>
        <w:t>Gestoras</w:t>
      </w:r>
      <w:r w:rsidR="00AB2657" w:rsidRPr="008F62DD">
        <w:rPr>
          <w:sz w:val="24"/>
          <w:szCs w:val="24"/>
        </w:rPr>
        <w:t xml:space="preserve"> e </w:t>
      </w:r>
      <w:r w:rsidRPr="008F62DD">
        <w:rPr>
          <w:sz w:val="24"/>
          <w:szCs w:val="24"/>
        </w:rPr>
        <w:t>Administra</w:t>
      </w:r>
      <w:r w:rsidR="00AB2657" w:rsidRPr="008F62DD">
        <w:rPr>
          <w:sz w:val="24"/>
          <w:szCs w:val="24"/>
        </w:rPr>
        <w:t>doras</w:t>
      </w:r>
      <w:r w:rsidRPr="008F62DD">
        <w:rPr>
          <w:sz w:val="24"/>
          <w:szCs w:val="24"/>
        </w:rPr>
        <w:t xml:space="preserve"> de Fundos de Investimentos sejam cred</w:t>
      </w:r>
      <w:r w:rsidR="00AB2657" w:rsidRPr="008F62DD">
        <w:rPr>
          <w:sz w:val="24"/>
          <w:szCs w:val="24"/>
        </w:rPr>
        <w:t>enciadas na forma do presente Edital.</w:t>
      </w:r>
    </w:p>
    <w:p w:rsidR="00956F9F" w:rsidRPr="008F62DD" w:rsidRDefault="00956F9F" w:rsidP="00956F9F">
      <w:pPr>
        <w:pStyle w:val="PargrafodaLista"/>
        <w:spacing w:after="0"/>
        <w:ind w:left="792"/>
        <w:contextualSpacing w:val="0"/>
        <w:jc w:val="both"/>
        <w:rPr>
          <w:sz w:val="24"/>
          <w:szCs w:val="24"/>
        </w:rPr>
      </w:pPr>
    </w:p>
    <w:p w:rsidR="008B55EB" w:rsidRPr="008F62DD" w:rsidRDefault="00453A67" w:rsidP="00956F9F">
      <w:pPr>
        <w:pStyle w:val="PargrafodaLista"/>
        <w:numPr>
          <w:ilvl w:val="0"/>
          <w:numId w:val="1"/>
        </w:numPr>
        <w:spacing w:after="0"/>
        <w:ind w:left="357" w:hanging="357"/>
        <w:contextualSpacing w:val="0"/>
        <w:jc w:val="both"/>
        <w:rPr>
          <w:b/>
          <w:sz w:val="24"/>
          <w:szCs w:val="24"/>
        </w:rPr>
      </w:pPr>
      <w:r w:rsidRPr="008F62DD">
        <w:rPr>
          <w:b/>
          <w:sz w:val="24"/>
          <w:szCs w:val="24"/>
        </w:rPr>
        <w:t xml:space="preserve">DAS </w:t>
      </w:r>
      <w:r w:rsidR="008B55EB" w:rsidRPr="008F62DD">
        <w:rPr>
          <w:b/>
          <w:sz w:val="24"/>
          <w:szCs w:val="24"/>
        </w:rPr>
        <w:t>CONDIÇÕES GERAIS DO CREDENCIAMENTO</w:t>
      </w:r>
    </w:p>
    <w:p w:rsidR="00956F9F" w:rsidRPr="008F62DD" w:rsidRDefault="00956F9F" w:rsidP="00956F9F">
      <w:pPr>
        <w:pStyle w:val="PargrafodaLista"/>
        <w:spacing w:after="0"/>
        <w:ind w:left="357"/>
        <w:contextualSpacing w:val="0"/>
        <w:jc w:val="both"/>
        <w:rPr>
          <w:b/>
          <w:sz w:val="24"/>
          <w:szCs w:val="24"/>
        </w:rPr>
      </w:pPr>
    </w:p>
    <w:p w:rsidR="00435E56" w:rsidRPr="008F62DD" w:rsidRDefault="00DD1008" w:rsidP="00AB2657">
      <w:pPr>
        <w:pStyle w:val="PargrafodaLista"/>
        <w:numPr>
          <w:ilvl w:val="1"/>
          <w:numId w:val="1"/>
        </w:numPr>
        <w:contextualSpacing w:val="0"/>
        <w:jc w:val="both"/>
        <w:rPr>
          <w:sz w:val="24"/>
          <w:szCs w:val="24"/>
        </w:rPr>
      </w:pPr>
      <w:r w:rsidRPr="008F62DD">
        <w:rPr>
          <w:sz w:val="24"/>
          <w:szCs w:val="24"/>
        </w:rPr>
        <w:t>A participação neste Credenciamento implica na aceitação integral e irrestrita das condições estabelecidas neste Edital</w:t>
      </w:r>
    </w:p>
    <w:p w:rsidR="00D41A96" w:rsidRPr="008F62DD" w:rsidRDefault="00D41A96" w:rsidP="00D41A96">
      <w:pPr>
        <w:pStyle w:val="PargrafodaLista"/>
        <w:numPr>
          <w:ilvl w:val="1"/>
          <w:numId w:val="1"/>
        </w:numPr>
        <w:rPr>
          <w:sz w:val="24"/>
          <w:szCs w:val="24"/>
        </w:rPr>
      </w:pPr>
      <w:r w:rsidRPr="008F62DD">
        <w:rPr>
          <w:sz w:val="24"/>
          <w:szCs w:val="24"/>
        </w:rPr>
        <w:t>O Credenciamento poderá ser efetuado de forma Manual ou Eletrônica.</w:t>
      </w:r>
    </w:p>
    <w:p w:rsidR="00D41A96" w:rsidRPr="008F62DD" w:rsidRDefault="00D41A96" w:rsidP="00D41A96">
      <w:pPr>
        <w:pStyle w:val="PargrafodaLista"/>
        <w:ind w:left="792"/>
        <w:contextualSpacing w:val="0"/>
        <w:jc w:val="both"/>
        <w:rPr>
          <w:sz w:val="24"/>
          <w:szCs w:val="24"/>
        </w:rPr>
      </w:pPr>
    </w:p>
    <w:p w:rsidR="008D410C" w:rsidRPr="008F62DD" w:rsidRDefault="008D410C" w:rsidP="00517046">
      <w:pPr>
        <w:pStyle w:val="PargrafodaLista"/>
        <w:numPr>
          <w:ilvl w:val="1"/>
          <w:numId w:val="1"/>
        </w:numPr>
        <w:contextualSpacing w:val="0"/>
        <w:jc w:val="both"/>
        <w:rPr>
          <w:sz w:val="24"/>
          <w:szCs w:val="24"/>
        </w:rPr>
      </w:pPr>
      <w:r w:rsidRPr="008F62DD">
        <w:rPr>
          <w:sz w:val="24"/>
          <w:szCs w:val="24"/>
        </w:rPr>
        <w:t>A</w:t>
      </w:r>
      <w:r w:rsidR="008D6290" w:rsidRPr="008F62DD">
        <w:rPr>
          <w:sz w:val="24"/>
          <w:szCs w:val="24"/>
        </w:rPr>
        <w:t>s instruções para as</w:t>
      </w:r>
      <w:r w:rsidRPr="008F62DD">
        <w:rPr>
          <w:sz w:val="24"/>
          <w:szCs w:val="24"/>
        </w:rPr>
        <w:t xml:space="preserve"> </w:t>
      </w:r>
      <w:r w:rsidR="00517046" w:rsidRPr="008F62DD">
        <w:rPr>
          <w:sz w:val="24"/>
          <w:szCs w:val="24"/>
        </w:rPr>
        <w:t xml:space="preserve">Instituições Gestoras e Administradoras de Fundos de Investimentos, </w:t>
      </w:r>
      <w:r w:rsidR="008D6290" w:rsidRPr="008F62DD">
        <w:rPr>
          <w:sz w:val="24"/>
          <w:szCs w:val="24"/>
        </w:rPr>
        <w:t>efetuarem o Credenciamento, estão disponíveis no Anexo I.</w:t>
      </w:r>
    </w:p>
    <w:p w:rsidR="00F278A5" w:rsidRPr="008F62DD" w:rsidRDefault="00F278A5" w:rsidP="006A5684">
      <w:pPr>
        <w:pStyle w:val="PargrafodaLista"/>
        <w:numPr>
          <w:ilvl w:val="1"/>
          <w:numId w:val="1"/>
        </w:numPr>
        <w:contextualSpacing w:val="0"/>
        <w:jc w:val="both"/>
        <w:rPr>
          <w:sz w:val="24"/>
          <w:szCs w:val="24"/>
        </w:rPr>
      </w:pPr>
      <w:r w:rsidRPr="008F62DD">
        <w:rPr>
          <w:sz w:val="24"/>
          <w:szCs w:val="24"/>
        </w:rPr>
        <w:lastRenderedPageBreak/>
        <w:t xml:space="preserve">As Instituições Gestoras e Administradoras de Fundos de Investimentos </w:t>
      </w:r>
      <w:r w:rsidR="00B01DB6" w:rsidRPr="008F62DD">
        <w:rPr>
          <w:sz w:val="24"/>
          <w:szCs w:val="24"/>
        </w:rPr>
        <w:t>com relação à potencialidade fiduciária da administradora e gestora, a análise observará os seguintes quesitos básicos:</w:t>
      </w:r>
    </w:p>
    <w:p w:rsidR="00B01DB6" w:rsidRPr="008F62DD" w:rsidRDefault="00B01DB6" w:rsidP="00B01DB6">
      <w:pPr>
        <w:pStyle w:val="PargrafodaLista"/>
        <w:numPr>
          <w:ilvl w:val="2"/>
          <w:numId w:val="1"/>
        </w:numPr>
        <w:ind w:left="1560" w:hanging="646"/>
        <w:contextualSpacing w:val="0"/>
        <w:jc w:val="both"/>
        <w:rPr>
          <w:sz w:val="24"/>
          <w:szCs w:val="24"/>
        </w:rPr>
      </w:pPr>
      <w:r w:rsidRPr="008F62DD">
        <w:rPr>
          <w:sz w:val="24"/>
          <w:szCs w:val="24"/>
        </w:rPr>
        <w:t>Tradição e Credibilidade da Instituição – envolvendo volume de recursos administrados e geridos, no Brasil e no exterior, capacitação profissional dos agentes envolvidos na administração e gestão de investimentos do fundo, que incluem formação acadêmica continuada, certificações, reconhecimento público etc., tempo de atuação e maturidade desses agentes na atividade, regularidade da manutenção da equipe, com base na rotatividade dos profissionais e na tempestividade na reposição, além de outras informações relacionadas com a administração e gestão de investimentos que permitam identificar a cultura fiduciária da instituição e seu compromisso com princípios de responsabilidade nos investimentos e de governança;</w:t>
      </w:r>
    </w:p>
    <w:p w:rsidR="00B01DB6" w:rsidRPr="008F62DD" w:rsidRDefault="00B01DB6" w:rsidP="00B01DB6">
      <w:pPr>
        <w:pStyle w:val="PargrafodaLista"/>
        <w:numPr>
          <w:ilvl w:val="2"/>
          <w:numId w:val="1"/>
        </w:numPr>
        <w:ind w:left="1560" w:hanging="646"/>
        <w:contextualSpacing w:val="0"/>
        <w:jc w:val="both"/>
        <w:rPr>
          <w:sz w:val="24"/>
          <w:szCs w:val="24"/>
        </w:rPr>
      </w:pPr>
      <w:r w:rsidRPr="008F62DD">
        <w:rPr>
          <w:sz w:val="24"/>
          <w:szCs w:val="24"/>
        </w:rPr>
        <w:t>Gestão do Risco – envolvendo qualidade e consistência dos processos de administração e gestão, em especial aos riscos de crédito – quando aplicável – liquidez, mercado, legal e operacional, efetividade dos controles internos, envolvendo, ainda, o uso de ferramentas, softwares e consultorias especializadas, regularidade na prestação de informações, atuação da área de “compliance”, capacitação profissional dos agentes envolvidos na administração e gestão de risco do fundo, que incluem formação acadêmica continuada, certificações, reconhecimento público etc., tempo de atuação e maturidade desses agentes na atividade, regularidade da manutenção da equipe de risco, com base na rotatividade dos profissionais e na tempestividade na reposição, além de outras informações relacionadas com a administração e gestão do risco.</w:t>
      </w:r>
    </w:p>
    <w:p w:rsidR="00B01DB6" w:rsidRPr="008F62DD" w:rsidRDefault="00B01DB6" w:rsidP="00B01DB6">
      <w:pPr>
        <w:pStyle w:val="PargrafodaLista"/>
        <w:numPr>
          <w:ilvl w:val="2"/>
          <w:numId w:val="1"/>
        </w:numPr>
        <w:ind w:left="1560" w:hanging="646"/>
        <w:contextualSpacing w:val="0"/>
        <w:jc w:val="both"/>
        <w:rPr>
          <w:sz w:val="24"/>
          <w:szCs w:val="24"/>
        </w:rPr>
      </w:pPr>
      <w:r w:rsidRPr="008F62DD">
        <w:rPr>
          <w:sz w:val="24"/>
          <w:szCs w:val="24"/>
        </w:rPr>
        <w:t>Avaliação de aderência dos Fundos aos indicadores de desempenho (Benchmark) e riscos – envolvendo a correlação da rentabilidade com seus objetivos e a consistência na entrega de resultados no período mínimo de dois anos anteriores ao credenciamento;</w:t>
      </w:r>
    </w:p>
    <w:p w:rsidR="00F278A5" w:rsidRPr="008F62DD" w:rsidRDefault="00F278A5" w:rsidP="00737107">
      <w:pPr>
        <w:pStyle w:val="PargrafodaLista"/>
        <w:numPr>
          <w:ilvl w:val="2"/>
          <w:numId w:val="1"/>
        </w:numPr>
        <w:ind w:left="1560" w:hanging="646"/>
        <w:contextualSpacing w:val="0"/>
        <w:jc w:val="both"/>
        <w:rPr>
          <w:sz w:val="24"/>
          <w:szCs w:val="24"/>
        </w:rPr>
      </w:pPr>
      <w:r w:rsidRPr="008F62DD">
        <w:rPr>
          <w:sz w:val="24"/>
          <w:szCs w:val="24"/>
        </w:rPr>
        <w:t>Os documentos indicados serão submetidos à análise e parecer do Comitê de Investimentos, sendo que, somente as Instituições que forem consideradas aptas</w:t>
      </w:r>
      <w:r w:rsidR="00737107" w:rsidRPr="008F62DD">
        <w:rPr>
          <w:sz w:val="24"/>
          <w:szCs w:val="24"/>
        </w:rPr>
        <w:t>,</w:t>
      </w:r>
      <w:r w:rsidRPr="008F62DD">
        <w:rPr>
          <w:sz w:val="24"/>
          <w:szCs w:val="24"/>
        </w:rPr>
        <w:t xml:space="preserve"> terão o status de Instituição </w:t>
      </w:r>
      <w:r w:rsidR="00BB44BC" w:rsidRPr="008F62DD">
        <w:rPr>
          <w:sz w:val="24"/>
          <w:szCs w:val="24"/>
        </w:rPr>
        <w:t>Credenciada</w:t>
      </w:r>
      <w:r w:rsidRPr="008F62DD">
        <w:rPr>
          <w:sz w:val="24"/>
          <w:szCs w:val="24"/>
        </w:rPr>
        <w:t>.</w:t>
      </w:r>
    </w:p>
    <w:p w:rsidR="00F278A5" w:rsidRPr="008F62DD" w:rsidRDefault="00F278A5" w:rsidP="00776542">
      <w:pPr>
        <w:pStyle w:val="PargrafodaLista"/>
        <w:numPr>
          <w:ilvl w:val="2"/>
          <w:numId w:val="1"/>
        </w:numPr>
        <w:ind w:left="1560" w:hanging="698"/>
        <w:contextualSpacing w:val="0"/>
        <w:jc w:val="both"/>
        <w:rPr>
          <w:sz w:val="24"/>
          <w:szCs w:val="24"/>
        </w:rPr>
      </w:pPr>
      <w:r w:rsidRPr="008F62DD">
        <w:rPr>
          <w:sz w:val="24"/>
          <w:szCs w:val="24"/>
        </w:rPr>
        <w:t xml:space="preserve">As </w:t>
      </w:r>
      <w:r w:rsidR="00517046" w:rsidRPr="008F62DD">
        <w:rPr>
          <w:sz w:val="24"/>
          <w:szCs w:val="24"/>
        </w:rPr>
        <w:t xml:space="preserve">Instituições Gestoras e Administradoras de Fundos de Investimentos </w:t>
      </w:r>
      <w:r w:rsidRPr="008F62DD">
        <w:rPr>
          <w:sz w:val="24"/>
          <w:szCs w:val="24"/>
        </w:rPr>
        <w:t>são responsáveis pela fidelidade e legitimidade das informações constantes nos documentos apresentados.</w:t>
      </w:r>
    </w:p>
    <w:p w:rsidR="000C020E" w:rsidRPr="008F62DD" w:rsidRDefault="00AB6E71" w:rsidP="00517046">
      <w:pPr>
        <w:pStyle w:val="PargrafodaLista"/>
        <w:numPr>
          <w:ilvl w:val="1"/>
          <w:numId w:val="1"/>
        </w:numPr>
        <w:contextualSpacing w:val="0"/>
        <w:jc w:val="both"/>
        <w:rPr>
          <w:sz w:val="24"/>
          <w:szCs w:val="24"/>
        </w:rPr>
      </w:pPr>
      <w:r w:rsidRPr="008F62DD">
        <w:rPr>
          <w:sz w:val="24"/>
          <w:szCs w:val="24"/>
        </w:rPr>
        <w:t xml:space="preserve">As </w:t>
      </w:r>
      <w:r w:rsidR="00517046" w:rsidRPr="008F62DD">
        <w:rPr>
          <w:sz w:val="24"/>
          <w:szCs w:val="24"/>
        </w:rPr>
        <w:t>Instituições Gestoras e Administradoras de Fundos de Investimentos</w:t>
      </w:r>
      <w:r w:rsidRPr="008F62DD">
        <w:rPr>
          <w:sz w:val="24"/>
          <w:szCs w:val="24"/>
        </w:rPr>
        <w:t xml:space="preserve"> que mantém relacionam</w:t>
      </w:r>
      <w:r w:rsidR="004C585A" w:rsidRPr="008F62DD">
        <w:rPr>
          <w:sz w:val="24"/>
          <w:szCs w:val="24"/>
        </w:rPr>
        <w:t xml:space="preserve">ento financeiro com o INSTITUTO </w:t>
      </w:r>
      <w:r w:rsidRPr="008F62DD">
        <w:rPr>
          <w:sz w:val="24"/>
          <w:szCs w:val="24"/>
        </w:rPr>
        <w:t xml:space="preserve">não estão dispensadas de participar deste processo seletivo de </w:t>
      </w:r>
      <w:r w:rsidR="004C585A" w:rsidRPr="008F62DD">
        <w:rPr>
          <w:sz w:val="24"/>
          <w:szCs w:val="24"/>
        </w:rPr>
        <w:t>C</w:t>
      </w:r>
      <w:r w:rsidRPr="008F62DD">
        <w:rPr>
          <w:sz w:val="24"/>
          <w:szCs w:val="24"/>
        </w:rPr>
        <w:t>redenciamento.</w:t>
      </w:r>
    </w:p>
    <w:p w:rsidR="000C020E" w:rsidRPr="008F62DD" w:rsidRDefault="00AB6E71" w:rsidP="00AB2657">
      <w:pPr>
        <w:pStyle w:val="PargrafodaLista"/>
        <w:numPr>
          <w:ilvl w:val="1"/>
          <w:numId w:val="1"/>
        </w:numPr>
        <w:contextualSpacing w:val="0"/>
        <w:jc w:val="both"/>
        <w:rPr>
          <w:sz w:val="24"/>
          <w:szCs w:val="24"/>
        </w:rPr>
      </w:pPr>
      <w:r w:rsidRPr="008F62DD">
        <w:rPr>
          <w:sz w:val="24"/>
          <w:szCs w:val="24"/>
        </w:rPr>
        <w:t xml:space="preserve">O </w:t>
      </w:r>
      <w:r w:rsidR="00737107" w:rsidRPr="008F62DD">
        <w:rPr>
          <w:sz w:val="24"/>
          <w:szCs w:val="24"/>
        </w:rPr>
        <w:t>C</w:t>
      </w:r>
      <w:r w:rsidRPr="008F62DD">
        <w:rPr>
          <w:sz w:val="24"/>
          <w:szCs w:val="24"/>
        </w:rPr>
        <w:t>redenciamento das Instituições Gestoras</w:t>
      </w:r>
      <w:r w:rsidR="004C585A" w:rsidRPr="008F62DD">
        <w:rPr>
          <w:sz w:val="24"/>
          <w:szCs w:val="24"/>
        </w:rPr>
        <w:t xml:space="preserve"> e Administradoras</w:t>
      </w:r>
      <w:r w:rsidRPr="008F62DD">
        <w:rPr>
          <w:sz w:val="24"/>
          <w:szCs w:val="24"/>
        </w:rPr>
        <w:t xml:space="preserve"> de Fundos de Investimentos junto ao</w:t>
      </w:r>
      <w:r w:rsidR="004C585A" w:rsidRPr="008F62DD">
        <w:rPr>
          <w:sz w:val="24"/>
          <w:szCs w:val="24"/>
        </w:rPr>
        <w:t xml:space="preserve"> </w:t>
      </w:r>
      <w:r w:rsidRPr="008F62DD">
        <w:rPr>
          <w:sz w:val="24"/>
          <w:szCs w:val="24"/>
        </w:rPr>
        <w:t>INSTITUTO, ter</w:t>
      </w:r>
      <w:r w:rsidR="0051796A" w:rsidRPr="008F62DD">
        <w:rPr>
          <w:sz w:val="24"/>
          <w:szCs w:val="24"/>
        </w:rPr>
        <w:t>á</w:t>
      </w:r>
      <w:r w:rsidRPr="008F62DD">
        <w:rPr>
          <w:sz w:val="24"/>
          <w:szCs w:val="24"/>
        </w:rPr>
        <w:t xml:space="preserve"> por validade o prazo de </w:t>
      </w:r>
      <w:r w:rsidR="001C7143" w:rsidRPr="008F62DD">
        <w:rPr>
          <w:sz w:val="24"/>
          <w:szCs w:val="24"/>
        </w:rPr>
        <w:t>12</w:t>
      </w:r>
      <w:r w:rsidRPr="008F62DD">
        <w:rPr>
          <w:sz w:val="24"/>
          <w:szCs w:val="24"/>
        </w:rPr>
        <w:t xml:space="preserve"> (</w:t>
      </w:r>
      <w:r w:rsidR="001C7143" w:rsidRPr="008F62DD">
        <w:rPr>
          <w:sz w:val="24"/>
          <w:szCs w:val="24"/>
        </w:rPr>
        <w:t>doze</w:t>
      </w:r>
      <w:r w:rsidRPr="008F62DD">
        <w:rPr>
          <w:sz w:val="24"/>
          <w:szCs w:val="24"/>
        </w:rPr>
        <w:t xml:space="preserve">) </w:t>
      </w:r>
      <w:r w:rsidR="004C585A" w:rsidRPr="008F62DD">
        <w:rPr>
          <w:sz w:val="24"/>
          <w:szCs w:val="24"/>
        </w:rPr>
        <w:t>meses</w:t>
      </w:r>
      <w:r w:rsidRPr="008F62DD">
        <w:rPr>
          <w:sz w:val="24"/>
          <w:szCs w:val="24"/>
        </w:rPr>
        <w:t xml:space="preserve">, </w:t>
      </w:r>
      <w:r w:rsidR="004C585A" w:rsidRPr="008F62DD">
        <w:rPr>
          <w:sz w:val="24"/>
          <w:szCs w:val="24"/>
        </w:rPr>
        <w:t>quando a análise do Credenciamento</w:t>
      </w:r>
      <w:r w:rsidR="008B55EB" w:rsidRPr="008F62DD">
        <w:rPr>
          <w:sz w:val="24"/>
          <w:szCs w:val="24"/>
        </w:rPr>
        <w:t xml:space="preserve"> de cada Instituição deverá ser reavaliada, </w:t>
      </w:r>
      <w:r w:rsidR="0062493D" w:rsidRPr="008F62DD">
        <w:rPr>
          <w:sz w:val="24"/>
          <w:szCs w:val="24"/>
        </w:rPr>
        <w:t>sendo que</w:t>
      </w:r>
      <w:r w:rsidR="00737107" w:rsidRPr="008F62DD">
        <w:rPr>
          <w:sz w:val="24"/>
          <w:szCs w:val="24"/>
        </w:rPr>
        <w:t>,</w:t>
      </w:r>
      <w:r w:rsidR="008B55EB" w:rsidRPr="008F62DD">
        <w:rPr>
          <w:sz w:val="24"/>
          <w:szCs w:val="24"/>
        </w:rPr>
        <w:t xml:space="preserve"> as Instituições</w:t>
      </w:r>
      <w:r w:rsidR="00737107" w:rsidRPr="008F62DD">
        <w:rPr>
          <w:sz w:val="24"/>
          <w:szCs w:val="24"/>
        </w:rPr>
        <w:t xml:space="preserve"> Credenciadas,</w:t>
      </w:r>
      <w:r w:rsidR="008B55EB" w:rsidRPr="008F62DD">
        <w:rPr>
          <w:sz w:val="24"/>
          <w:szCs w:val="24"/>
        </w:rPr>
        <w:t xml:space="preserve"> </w:t>
      </w:r>
      <w:r w:rsidR="0062493D" w:rsidRPr="008F62DD">
        <w:rPr>
          <w:sz w:val="24"/>
          <w:szCs w:val="24"/>
        </w:rPr>
        <w:t>possuem a</w:t>
      </w:r>
      <w:r w:rsidR="008B55EB" w:rsidRPr="008F62DD">
        <w:rPr>
          <w:sz w:val="24"/>
          <w:szCs w:val="24"/>
        </w:rPr>
        <w:t xml:space="preserve"> </w:t>
      </w:r>
      <w:r w:rsidRPr="008F62DD">
        <w:rPr>
          <w:sz w:val="24"/>
          <w:szCs w:val="24"/>
        </w:rPr>
        <w:t>responsabilidade de manter atualizad</w:t>
      </w:r>
      <w:r w:rsidR="008B55EB" w:rsidRPr="008F62DD">
        <w:rPr>
          <w:sz w:val="24"/>
          <w:szCs w:val="24"/>
        </w:rPr>
        <w:t>as</w:t>
      </w:r>
      <w:r w:rsidR="00737107" w:rsidRPr="008F62DD">
        <w:rPr>
          <w:sz w:val="24"/>
          <w:szCs w:val="24"/>
        </w:rPr>
        <w:t xml:space="preserve"> todas as certidões apresentadas cujo prazo de validade </w:t>
      </w:r>
      <w:r w:rsidR="00737107" w:rsidRPr="008F62DD">
        <w:rPr>
          <w:sz w:val="24"/>
          <w:szCs w:val="24"/>
        </w:rPr>
        <w:lastRenderedPageBreak/>
        <w:t xml:space="preserve">seja inferior a </w:t>
      </w:r>
      <w:r w:rsidR="001C7143" w:rsidRPr="008F62DD">
        <w:rPr>
          <w:sz w:val="24"/>
          <w:szCs w:val="24"/>
        </w:rPr>
        <w:t>12</w:t>
      </w:r>
      <w:r w:rsidR="00737107" w:rsidRPr="008F62DD">
        <w:rPr>
          <w:sz w:val="24"/>
          <w:szCs w:val="24"/>
        </w:rPr>
        <w:t xml:space="preserve"> (</w:t>
      </w:r>
      <w:r w:rsidR="001C7143" w:rsidRPr="008F62DD">
        <w:rPr>
          <w:sz w:val="24"/>
          <w:szCs w:val="24"/>
        </w:rPr>
        <w:t>doze</w:t>
      </w:r>
      <w:r w:rsidR="00737107" w:rsidRPr="008F62DD">
        <w:rPr>
          <w:sz w:val="24"/>
          <w:szCs w:val="24"/>
        </w:rPr>
        <w:t>) meses do dia do credenciamento</w:t>
      </w:r>
      <w:r w:rsidR="00300F7F" w:rsidRPr="008F62DD">
        <w:rPr>
          <w:sz w:val="24"/>
          <w:szCs w:val="24"/>
        </w:rPr>
        <w:t>,</w:t>
      </w:r>
      <w:r w:rsidR="00737107" w:rsidRPr="008F62DD">
        <w:rPr>
          <w:sz w:val="24"/>
          <w:szCs w:val="24"/>
        </w:rPr>
        <w:t xml:space="preserve"> como também, atualizar</w:t>
      </w:r>
      <w:r w:rsidR="008B55EB" w:rsidRPr="008F62DD">
        <w:rPr>
          <w:sz w:val="24"/>
          <w:szCs w:val="24"/>
        </w:rPr>
        <w:t xml:space="preserve"> </w:t>
      </w:r>
      <w:r w:rsidRPr="008F62DD">
        <w:rPr>
          <w:sz w:val="24"/>
          <w:szCs w:val="24"/>
        </w:rPr>
        <w:t>qua</w:t>
      </w:r>
      <w:r w:rsidR="008B55EB" w:rsidRPr="008F62DD">
        <w:rPr>
          <w:sz w:val="24"/>
          <w:szCs w:val="24"/>
        </w:rPr>
        <w:t>is</w:t>
      </w:r>
      <w:r w:rsidRPr="008F62DD">
        <w:rPr>
          <w:sz w:val="24"/>
          <w:szCs w:val="24"/>
        </w:rPr>
        <w:t>quer fato</w:t>
      </w:r>
      <w:r w:rsidR="008B55EB" w:rsidRPr="008F62DD">
        <w:rPr>
          <w:sz w:val="24"/>
          <w:szCs w:val="24"/>
        </w:rPr>
        <w:t>s</w:t>
      </w:r>
      <w:r w:rsidRPr="008F62DD">
        <w:rPr>
          <w:sz w:val="24"/>
          <w:szCs w:val="24"/>
        </w:rPr>
        <w:t xml:space="preserve"> relevante</w:t>
      </w:r>
      <w:r w:rsidR="008B55EB" w:rsidRPr="008F62DD">
        <w:rPr>
          <w:sz w:val="24"/>
          <w:szCs w:val="24"/>
        </w:rPr>
        <w:t>s</w:t>
      </w:r>
      <w:r w:rsidRPr="008F62DD">
        <w:rPr>
          <w:sz w:val="24"/>
          <w:szCs w:val="24"/>
        </w:rPr>
        <w:t xml:space="preserve"> e/ou alterações pertinentes referentes </w:t>
      </w:r>
      <w:r w:rsidR="008B55EB" w:rsidRPr="008F62DD">
        <w:rPr>
          <w:sz w:val="24"/>
          <w:szCs w:val="24"/>
        </w:rPr>
        <w:t>à</w:t>
      </w:r>
      <w:r w:rsidRPr="008F62DD">
        <w:rPr>
          <w:sz w:val="24"/>
          <w:szCs w:val="24"/>
        </w:rPr>
        <w:t xml:space="preserve"> documentação </w:t>
      </w:r>
      <w:r w:rsidR="008B55EB" w:rsidRPr="008F62DD">
        <w:rPr>
          <w:sz w:val="24"/>
          <w:szCs w:val="24"/>
        </w:rPr>
        <w:t>enviada para o Credenciamento</w:t>
      </w:r>
      <w:r w:rsidRPr="008F62DD">
        <w:rPr>
          <w:sz w:val="24"/>
          <w:szCs w:val="24"/>
        </w:rPr>
        <w:t>.</w:t>
      </w:r>
    </w:p>
    <w:p w:rsidR="00D41A96" w:rsidRPr="008F62DD" w:rsidRDefault="0062493D" w:rsidP="00D41A96">
      <w:pPr>
        <w:pStyle w:val="PargrafodaLista"/>
        <w:numPr>
          <w:ilvl w:val="2"/>
          <w:numId w:val="1"/>
        </w:numPr>
        <w:ind w:left="1418" w:hanging="646"/>
        <w:contextualSpacing w:val="0"/>
        <w:jc w:val="both"/>
        <w:rPr>
          <w:sz w:val="24"/>
          <w:szCs w:val="24"/>
        </w:rPr>
      </w:pPr>
      <w:r w:rsidRPr="008F62DD">
        <w:rPr>
          <w:sz w:val="24"/>
          <w:szCs w:val="24"/>
        </w:rPr>
        <w:t>Será</w:t>
      </w:r>
      <w:r w:rsidR="00AB6E71" w:rsidRPr="008F62DD">
        <w:rPr>
          <w:sz w:val="24"/>
          <w:szCs w:val="24"/>
        </w:rPr>
        <w:t xml:space="preserve"> submetido </w:t>
      </w:r>
      <w:r w:rsidRPr="008F62DD">
        <w:rPr>
          <w:sz w:val="24"/>
          <w:szCs w:val="24"/>
        </w:rPr>
        <w:t>à</w:t>
      </w:r>
      <w:r w:rsidR="00AB6E71" w:rsidRPr="008F62DD">
        <w:rPr>
          <w:sz w:val="24"/>
          <w:szCs w:val="24"/>
        </w:rPr>
        <w:t xml:space="preserve"> nova análise por parte do Comitê de Investimentos</w:t>
      </w:r>
      <w:r w:rsidRPr="008F62DD">
        <w:rPr>
          <w:sz w:val="24"/>
          <w:szCs w:val="24"/>
        </w:rPr>
        <w:t xml:space="preserve"> todos</w:t>
      </w:r>
      <w:r w:rsidR="00AB6E71" w:rsidRPr="008F62DD">
        <w:rPr>
          <w:sz w:val="24"/>
          <w:szCs w:val="24"/>
        </w:rPr>
        <w:t xml:space="preserve"> os documentos de atualização das Instituições Gestoras</w:t>
      </w:r>
      <w:r w:rsidRPr="008F62DD">
        <w:rPr>
          <w:sz w:val="24"/>
          <w:szCs w:val="24"/>
        </w:rPr>
        <w:t xml:space="preserve"> e Administradoras</w:t>
      </w:r>
      <w:r w:rsidR="00AB6E71" w:rsidRPr="008F62DD">
        <w:rPr>
          <w:sz w:val="24"/>
          <w:szCs w:val="24"/>
        </w:rPr>
        <w:t xml:space="preserve"> de Fundos de Investimentos, no t</w:t>
      </w:r>
      <w:r w:rsidRPr="008F62DD">
        <w:rPr>
          <w:sz w:val="24"/>
          <w:szCs w:val="24"/>
        </w:rPr>
        <w:t>é</w:t>
      </w:r>
      <w:r w:rsidR="00AB6E71" w:rsidRPr="008F62DD">
        <w:rPr>
          <w:sz w:val="24"/>
          <w:szCs w:val="24"/>
        </w:rPr>
        <w:t>rmino do pra</w:t>
      </w:r>
      <w:r w:rsidR="00300F7F" w:rsidRPr="008F62DD">
        <w:rPr>
          <w:sz w:val="24"/>
          <w:szCs w:val="24"/>
        </w:rPr>
        <w:t>zo estipulado no caput anterior ou a qualquer momento, quando da opção de investimento.</w:t>
      </w:r>
    </w:p>
    <w:p w:rsidR="001460E8" w:rsidRPr="008F62DD" w:rsidRDefault="00956F9F" w:rsidP="001460E8">
      <w:pPr>
        <w:pStyle w:val="PargrafodaLista"/>
        <w:numPr>
          <w:ilvl w:val="1"/>
          <w:numId w:val="1"/>
        </w:numPr>
        <w:jc w:val="both"/>
        <w:rPr>
          <w:color w:val="FF0000"/>
          <w:sz w:val="24"/>
          <w:szCs w:val="24"/>
        </w:rPr>
      </w:pPr>
      <w:r w:rsidRPr="008F62DD">
        <w:rPr>
          <w:sz w:val="24"/>
          <w:szCs w:val="24"/>
        </w:rPr>
        <w:t>Após Credenciamento e aprovação do Comitê de Investimento, será fornecido o Atestado de Credenciamento</w:t>
      </w:r>
      <w:r w:rsidR="00C75833" w:rsidRPr="008F62DD">
        <w:rPr>
          <w:sz w:val="24"/>
          <w:szCs w:val="24"/>
        </w:rPr>
        <w:t>.</w:t>
      </w:r>
      <w:r w:rsidR="00C75833" w:rsidRPr="008F62DD">
        <w:rPr>
          <w:color w:val="FF0000"/>
          <w:sz w:val="24"/>
          <w:szCs w:val="24"/>
        </w:rPr>
        <w:t xml:space="preserve"> </w:t>
      </w:r>
    </w:p>
    <w:p w:rsidR="001460E8" w:rsidRPr="008F62DD" w:rsidRDefault="001460E8" w:rsidP="001460E8">
      <w:pPr>
        <w:pStyle w:val="PargrafodaLista"/>
        <w:ind w:left="792"/>
        <w:jc w:val="both"/>
        <w:rPr>
          <w:sz w:val="24"/>
          <w:szCs w:val="24"/>
        </w:rPr>
      </w:pPr>
    </w:p>
    <w:p w:rsidR="00956F9F" w:rsidRPr="008F62DD" w:rsidRDefault="00956F9F" w:rsidP="00956F9F">
      <w:pPr>
        <w:pStyle w:val="PargrafodaLista"/>
        <w:ind w:left="792"/>
        <w:jc w:val="both"/>
        <w:rPr>
          <w:sz w:val="24"/>
          <w:szCs w:val="24"/>
        </w:rPr>
      </w:pPr>
    </w:p>
    <w:p w:rsidR="00C56D13" w:rsidRPr="008F62DD" w:rsidRDefault="00453A67" w:rsidP="00540470">
      <w:pPr>
        <w:pStyle w:val="PargrafodaLista"/>
        <w:numPr>
          <w:ilvl w:val="0"/>
          <w:numId w:val="1"/>
        </w:numPr>
        <w:contextualSpacing w:val="0"/>
        <w:jc w:val="both"/>
        <w:rPr>
          <w:b/>
          <w:sz w:val="24"/>
          <w:szCs w:val="24"/>
        </w:rPr>
      </w:pPr>
      <w:r w:rsidRPr="008F62DD">
        <w:rPr>
          <w:b/>
          <w:sz w:val="24"/>
          <w:szCs w:val="24"/>
        </w:rPr>
        <w:t xml:space="preserve">DOS </w:t>
      </w:r>
      <w:r w:rsidR="00C56D13" w:rsidRPr="008F62DD">
        <w:rPr>
          <w:b/>
          <w:sz w:val="24"/>
          <w:szCs w:val="24"/>
        </w:rPr>
        <w:t>REQUISITOS PARA PARTICIPAÇÃO</w:t>
      </w:r>
      <w:r w:rsidR="00BB44BC" w:rsidRPr="008F62DD">
        <w:rPr>
          <w:b/>
          <w:sz w:val="24"/>
          <w:szCs w:val="24"/>
        </w:rPr>
        <w:t xml:space="preserve"> E CREDENCIAMENTO</w:t>
      </w:r>
    </w:p>
    <w:p w:rsidR="00540470" w:rsidRPr="008F62DD" w:rsidRDefault="00F91CC1" w:rsidP="00DD1008">
      <w:pPr>
        <w:pStyle w:val="PargrafodaLista"/>
        <w:numPr>
          <w:ilvl w:val="1"/>
          <w:numId w:val="1"/>
        </w:numPr>
        <w:contextualSpacing w:val="0"/>
        <w:jc w:val="both"/>
        <w:rPr>
          <w:sz w:val="24"/>
          <w:szCs w:val="24"/>
        </w:rPr>
      </w:pPr>
      <w:r w:rsidRPr="008F62DD">
        <w:rPr>
          <w:sz w:val="24"/>
          <w:szCs w:val="24"/>
        </w:rPr>
        <w:t>Somente poderão se</w:t>
      </w:r>
      <w:r w:rsidR="00475B49" w:rsidRPr="008F62DD">
        <w:rPr>
          <w:sz w:val="24"/>
          <w:szCs w:val="24"/>
        </w:rPr>
        <w:t>r</w:t>
      </w:r>
      <w:r w:rsidRPr="008F62DD">
        <w:rPr>
          <w:sz w:val="24"/>
          <w:szCs w:val="24"/>
        </w:rPr>
        <w:t xml:space="preserve"> </w:t>
      </w:r>
      <w:r w:rsidR="008D6290" w:rsidRPr="008F62DD">
        <w:rPr>
          <w:sz w:val="24"/>
          <w:szCs w:val="24"/>
        </w:rPr>
        <w:t>c</w:t>
      </w:r>
      <w:r w:rsidRPr="008F62DD">
        <w:rPr>
          <w:sz w:val="24"/>
          <w:szCs w:val="24"/>
        </w:rPr>
        <w:t>redencia</w:t>
      </w:r>
      <w:r w:rsidR="00475B49" w:rsidRPr="008F62DD">
        <w:rPr>
          <w:sz w:val="24"/>
          <w:szCs w:val="24"/>
        </w:rPr>
        <w:t>das</w:t>
      </w:r>
      <w:r w:rsidR="00300F7F" w:rsidRPr="008F62DD">
        <w:rPr>
          <w:sz w:val="24"/>
          <w:szCs w:val="24"/>
        </w:rPr>
        <w:t>,</w:t>
      </w:r>
      <w:r w:rsidRPr="008F62DD">
        <w:rPr>
          <w:sz w:val="24"/>
          <w:szCs w:val="24"/>
        </w:rPr>
        <w:t xml:space="preserve"> as Instituições Gestoras e Administradoras de Fundos de Investimentos devidamente autorizadas a funcionar no País pela Comissão de Valores Mobiliários </w:t>
      </w:r>
      <w:r w:rsidR="00300F7F" w:rsidRPr="008F62DD">
        <w:rPr>
          <w:sz w:val="24"/>
          <w:szCs w:val="24"/>
        </w:rPr>
        <w:t xml:space="preserve">(CVM), </w:t>
      </w:r>
      <w:r w:rsidRPr="008F62DD">
        <w:rPr>
          <w:sz w:val="24"/>
          <w:szCs w:val="24"/>
        </w:rPr>
        <w:t>cuja finalidade e ramo de atuação estejam em consonância com o objeto deste Edital.</w:t>
      </w:r>
    </w:p>
    <w:p w:rsidR="00540470" w:rsidRPr="008F62DD" w:rsidRDefault="00DD1008" w:rsidP="00DD1008">
      <w:pPr>
        <w:pStyle w:val="PargrafodaLista"/>
        <w:numPr>
          <w:ilvl w:val="1"/>
          <w:numId w:val="1"/>
        </w:numPr>
        <w:contextualSpacing w:val="0"/>
        <w:jc w:val="both"/>
        <w:rPr>
          <w:sz w:val="24"/>
          <w:szCs w:val="24"/>
        </w:rPr>
      </w:pPr>
      <w:r w:rsidRPr="008F62DD">
        <w:rPr>
          <w:sz w:val="24"/>
          <w:szCs w:val="24"/>
        </w:rPr>
        <w:t>Estarão impedidos de participar de qualquer fase do processo os interessados que se enquadrem em uma ou mais situações a seguir:</w:t>
      </w:r>
    </w:p>
    <w:p w:rsidR="00540470" w:rsidRPr="008F62DD" w:rsidRDefault="00DD1008" w:rsidP="00300F7F">
      <w:pPr>
        <w:pStyle w:val="PargrafodaLista"/>
        <w:numPr>
          <w:ilvl w:val="2"/>
          <w:numId w:val="1"/>
        </w:numPr>
        <w:ind w:left="1418" w:hanging="646"/>
        <w:contextualSpacing w:val="0"/>
        <w:jc w:val="both"/>
        <w:rPr>
          <w:sz w:val="24"/>
          <w:szCs w:val="24"/>
        </w:rPr>
      </w:pPr>
      <w:r w:rsidRPr="008F62DD">
        <w:rPr>
          <w:sz w:val="24"/>
          <w:szCs w:val="24"/>
        </w:rPr>
        <w:t>Estejam cumprindo penalidade de suspensão temporária imposta por qualquer órgão da Administração Pública;</w:t>
      </w:r>
    </w:p>
    <w:p w:rsidR="00540470" w:rsidRPr="008F62DD" w:rsidRDefault="00DD1008" w:rsidP="00300F7F">
      <w:pPr>
        <w:pStyle w:val="PargrafodaLista"/>
        <w:numPr>
          <w:ilvl w:val="2"/>
          <w:numId w:val="1"/>
        </w:numPr>
        <w:ind w:left="1418" w:hanging="646"/>
        <w:contextualSpacing w:val="0"/>
        <w:jc w:val="both"/>
        <w:rPr>
          <w:sz w:val="24"/>
          <w:szCs w:val="24"/>
        </w:rPr>
      </w:pPr>
      <w:r w:rsidRPr="008F62DD">
        <w:rPr>
          <w:sz w:val="24"/>
          <w:szCs w:val="24"/>
        </w:rPr>
        <w:t>Sejam declaradas inidôneas em qualquer esfera de Governo;</w:t>
      </w:r>
    </w:p>
    <w:p w:rsidR="00C56D13" w:rsidRPr="008F62DD" w:rsidRDefault="00DD1008" w:rsidP="00300F7F">
      <w:pPr>
        <w:pStyle w:val="PargrafodaLista"/>
        <w:numPr>
          <w:ilvl w:val="2"/>
          <w:numId w:val="1"/>
        </w:numPr>
        <w:ind w:left="1418" w:hanging="646"/>
        <w:contextualSpacing w:val="0"/>
        <w:jc w:val="both"/>
        <w:rPr>
          <w:sz w:val="24"/>
          <w:szCs w:val="24"/>
        </w:rPr>
      </w:pPr>
      <w:r w:rsidRPr="008F62DD">
        <w:rPr>
          <w:sz w:val="24"/>
          <w:szCs w:val="24"/>
        </w:rPr>
        <w:t>Estejam sob intervenção, fal</w:t>
      </w:r>
      <w:r w:rsidR="00007CB5" w:rsidRPr="008F62DD">
        <w:rPr>
          <w:sz w:val="24"/>
          <w:szCs w:val="24"/>
        </w:rPr>
        <w:t>ência, dissolução ou liquidação;</w:t>
      </w:r>
    </w:p>
    <w:p w:rsidR="00007CB5" w:rsidRPr="008F62DD" w:rsidRDefault="00007CB5" w:rsidP="00300F7F">
      <w:pPr>
        <w:pStyle w:val="PargrafodaLista"/>
        <w:numPr>
          <w:ilvl w:val="2"/>
          <w:numId w:val="1"/>
        </w:numPr>
        <w:ind w:left="1418" w:hanging="646"/>
        <w:contextualSpacing w:val="0"/>
        <w:jc w:val="both"/>
        <w:rPr>
          <w:sz w:val="24"/>
          <w:szCs w:val="24"/>
        </w:rPr>
      </w:pPr>
      <w:r w:rsidRPr="008F62DD">
        <w:rPr>
          <w:sz w:val="24"/>
          <w:szCs w:val="24"/>
        </w:rPr>
        <w:t>Que discordem com as condições e termos propostos neste Edital.</w:t>
      </w:r>
    </w:p>
    <w:p w:rsidR="00453A67" w:rsidRPr="008F62DD" w:rsidRDefault="0051796A" w:rsidP="00453A67">
      <w:pPr>
        <w:pStyle w:val="PargrafodaLista"/>
        <w:numPr>
          <w:ilvl w:val="0"/>
          <w:numId w:val="1"/>
        </w:numPr>
        <w:contextualSpacing w:val="0"/>
        <w:jc w:val="both"/>
        <w:rPr>
          <w:b/>
          <w:sz w:val="24"/>
          <w:szCs w:val="24"/>
        </w:rPr>
      </w:pPr>
      <w:r w:rsidRPr="008F62DD">
        <w:rPr>
          <w:b/>
          <w:sz w:val="24"/>
          <w:szCs w:val="24"/>
        </w:rPr>
        <w:t xml:space="preserve">DA DOCUMENTAÇÃO NECESSÁRIA PARA O </w:t>
      </w:r>
      <w:r w:rsidR="00020F86" w:rsidRPr="008F62DD">
        <w:rPr>
          <w:b/>
          <w:sz w:val="24"/>
          <w:szCs w:val="24"/>
        </w:rPr>
        <w:t>CREDENCIAMENTO</w:t>
      </w:r>
    </w:p>
    <w:p w:rsidR="00020F86" w:rsidRPr="008F62DD" w:rsidRDefault="00715AAA" w:rsidP="00020F86">
      <w:pPr>
        <w:pStyle w:val="PargrafodaLista"/>
        <w:numPr>
          <w:ilvl w:val="1"/>
          <w:numId w:val="1"/>
        </w:numPr>
        <w:contextualSpacing w:val="0"/>
        <w:jc w:val="both"/>
        <w:rPr>
          <w:b/>
          <w:sz w:val="24"/>
          <w:szCs w:val="24"/>
          <w:u w:val="single"/>
        </w:rPr>
      </w:pPr>
      <w:r w:rsidRPr="008F62DD">
        <w:rPr>
          <w:b/>
          <w:sz w:val="24"/>
          <w:szCs w:val="24"/>
          <w:u w:val="single"/>
        </w:rPr>
        <w:t xml:space="preserve">Para </w:t>
      </w:r>
      <w:proofErr w:type="spellStart"/>
      <w:r w:rsidRPr="008F62DD">
        <w:rPr>
          <w:b/>
          <w:i/>
          <w:sz w:val="24"/>
          <w:szCs w:val="24"/>
          <w:u w:val="single"/>
        </w:rPr>
        <w:t>Assets</w:t>
      </w:r>
      <w:proofErr w:type="spellEnd"/>
      <w:r w:rsidRPr="008F62DD">
        <w:rPr>
          <w:b/>
          <w:sz w:val="24"/>
          <w:szCs w:val="24"/>
          <w:u w:val="single"/>
        </w:rPr>
        <w:t xml:space="preserve"> e Bancos</w:t>
      </w:r>
      <w:r w:rsidR="00020F86" w:rsidRPr="008F62DD">
        <w:rPr>
          <w:b/>
          <w:sz w:val="24"/>
          <w:szCs w:val="24"/>
          <w:u w:val="single"/>
        </w:rPr>
        <w:t>:</w:t>
      </w:r>
    </w:p>
    <w:p w:rsidR="001C7143" w:rsidRPr="008F62DD" w:rsidRDefault="001C7143" w:rsidP="001C7143">
      <w:pPr>
        <w:pStyle w:val="PargrafodaLista"/>
        <w:ind w:left="792"/>
        <w:contextualSpacing w:val="0"/>
        <w:jc w:val="both"/>
        <w:rPr>
          <w:sz w:val="24"/>
          <w:szCs w:val="24"/>
        </w:rPr>
      </w:pPr>
      <w:r w:rsidRPr="008F62DD">
        <w:rPr>
          <w:sz w:val="24"/>
          <w:szCs w:val="24"/>
        </w:rPr>
        <w:t xml:space="preserve">Conforme NOTA TÉCNICA Nº 17/2017/CGACI/DRPSP/SPPS/MF do MPS de 03/02/2017, será aceito os QDD – QUESTIONÁRIO DUE DILIGENCE da ANBIMA como alternativa aos modelos de “TERMOS DE </w:t>
      </w:r>
      <w:proofErr w:type="gramStart"/>
      <w:r w:rsidRPr="008F62DD">
        <w:rPr>
          <w:sz w:val="24"/>
          <w:szCs w:val="24"/>
        </w:rPr>
        <w:t>ANÁLISE  DE</w:t>
      </w:r>
      <w:proofErr w:type="gramEnd"/>
      <w:r w:rsidRPr="008F62DD">
        <w:rPr>
          <w:sz w:val="24"/>
          <w:szCs w:val="24"/>
        </w:rPr>
        <w:t xml:space="preserve"> CREDENCIAMENTO – INSTITUIÇÃO ADMINISTRADORA E/OU GESTORA DE FUNDOS  DE INVESTIMENTO” E “ TERMOS  DE ANALISE  DE CREDENCIAMENTO -  ANÁLISE DOS FUNDOS  DE INVESTIMENTOS.</w:t>
      </w:r>
    </w:p>
    <w:p w:rsidR="001C7143" w:rsidRPr="008F62DD" w:rsidRDefault="001C7143" w:rsidP="001C7143">
      <w:pPr>
        <w:pStyle w:val="PargrafodaLista"/>
        <w:ind w:left="792"/>
        <w:contextualSpacing w:val="0"/>
        <w:jc w:val="both"/>
        <w:rPr>
          <w:sz w:val="24"/>
          <w:szCs w:val="24"/>
        </w:rPr>
      </w:pPr>
      <w:r w:rsidRPr="008F62DD">
        <w:rPr>
          <w:sz w:val="24"/>
          <w:szCs w:val="24"/>
        </w:rPr>
        <w:t>Sendo assim, torna-se indispensável a apresentação deste, e adicionalmente:</w:t>
      </w:r>
    </w:p>
    <w:p w:rsidR="00020F86" w:rsidRPr="008F62DD" w:rsidRDefault="00B25348" w:rsidP="00020F86">
      <w:pPr>
        <w:pStyle w:val="PargrafodaLista"/>
        <w:numPr>
          <w:ilvl w:val="2"/>
          <w:numId w:val="1"/>
        </w:numPr>
        <w:ind w:left="1418" w:hanging="567"/>
        <w:contextualSpacing w:val="0"/>
        <w:jc w:val="both"/>
        <w:rPr>
          <w:sz w:val="24"/>
          <w:szCs w:val="24"/>
        </w:rPr>
      </w:pPr>
      <w:r w:rsidRPr="008F62DD">
        <w:rPr>
          <w:sz w:val="24"/>
          <w:szCs w:val="24"/>
        </w:rPr>
        <w:t xml:space="preserve">Ato Constitutivo, </w:t>
      </w:r>
      <w:r w:rsidR="00020F86" w:rsidRPr="008F62DD">
        <w:rPr>
          <w:sz w:val="24"/>
          <w:szCs w:val="24"/>
        </w:rPr>
        <w:t xml:space="preserve">Estatuto ou contrato social em vigor e alterações subsequentes, </w:t>
      </w:r>
      <w:r w:rsidRPr="008F62DD">
        <w:rPr>
          <w:sz w:val="24"/>
          <w:szCs w:val="24"/>
        </w:rPr>
        <w:t xml:space="preserve">devidamente registrada em cartório, </w:t>
      </w:r>
      <w:r w:rsidR="00020F86" w:rsidRPr="008F62DD">
        <w:rPr>
          <w:sz w:val="24"/>
          <w:szCs w:val="24"/>
        </w:rPr>
        <w:t>em se tratando de sociedades comerciais, e, no caso de sociedades por ações, acompanhada da ata da assembleia da última eleição de seus administradores</w:t>
      </w:r>
      <w:r w:rsidRPr="008F62DD">
        <w:rPr>
          <w:sz w:val="24"/>
          <w:szCs w:val="24"/>
        </w:rPr>
        <w:t xml:space="preserve"> e diretoria, devidamente registrada</w:t>
      </w:r>
      <w:r w:rsidR="00020F86" w:rsidRPr="008F62DD">
        <w:rPr>
          <w:sz w:val="24"/>
          <w:szCs w:val="24"/>
        </w:rPr>
        <w:t>;</w:t>
      </w:r>
    </w:p>
    <w:p w:rsidR="00B25348" w:rsidRPr="008F62DD" w:rsidRDefault="00B25348" w:rsidP="00020F86">
      <w:pPr>
        <w:pStyle w:val="PargrafodaLista"/>
        <w:numPr>
          <w:ilvl w:val="2"/>
          <w:numId w:val="1"/>
        </w:numPr>
        <w:ind w:left="1418" w:hanging="567"/>
        <w:contextualSpacing w:val="0"/>
        <w:jc w:val="both"/>
        <w:rPr>
          <w:sz w:val="24"/>
          <w:szCs w:val="24"/>
        </w:rPr>
      </w:pPr>
      <w:r w:rsidRPr="008F62DD">
        <w:rPr>
          <w:sz w:val="24"/>
          <w:szCs w:val="24"/>
        </w:rPr>
        <w:lastRenderedPageBreak/>
        <w:t>Ato de Registro ou autorização para funcionamento expedido pelo Banco Central do Brasil ou pela Comissão de Valores Mobiliários (CVM) ou outro órgão competente;</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Prova de regularidade quanto a inexistência de Débitos de Tributos Municipais;</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Prova de regularidade quanto a inexistência de Débitos de Tributos Estaduais;</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Prova de regularidade quanto à inexistência de Débitos de Tributos e Contribuições Federais e INSS (Certidão Conjunta).</w:t>
      </w:r>
    </w:p>
    <w:p w:rsidR="00715AAA" w:rsidRPr="008F62DD" w:rsidRDefault="00715AAA" w:rsidP="00715AAA">
      <w:pPr>
        <w:pStyle w:val="PargrafodaLista"/>
        <w:numPr>
          <w:ilvl w:val="2"/>
          <w:numId w:val="1"/>
        </w:numPr>
        <w:ind w:left="1418" w:hanging="646"/>
        <w:contextualSpacing w:val="0"/>
        <w:jc w:val="both"/>
        <w:rPr>
          <w:sz w:val="24"/>
          <w:szCs w:val="24"/>
        </w:rPr>
      </w:pPr>
      <w:r w:rsidRPr="008F62DD">
        <w:rPr>
          <w:sz w:val="24"/>
          <w:szCs w:val="24"/>
        </w:rPr>
        <w:t xml:space="preserve">Relatório de </w:t>
      </w:r>
      <w:proofErr w:type="spellStart"/>
      <w:r w:rsidRPr="008F62DD">
        <w:rPr>
          <w:i/>
          <w:sz w:val="24"/>
          <w:szCs w:val="24"/>
        </w:rPr>
        <w:t>Due</w:t>
      </w:r>
      <w:proofErr w:type="spellEnd"/>
      <w:r w:rsidRPr="008F62DD">
        <w:rPr>
          <w:i/>
          <w:sz w:val="24"/>
          <w:szCs w:val="24"/>
        </w:rPr>
        <w:t xml:space="preserve"> </w:t>
      </w:r>
      <w:proofErr w:type="spellStart"/>
      <w:r w:rsidRPr="008F62DD">
        <w:rPr>
          <w:i/>
          <w:sz w:val="24"/>
          <w:szCs w:val="24"/>
        </w:rPr>
        <w:t>Diligence</w:t>
      </w:r>
      <w:proofErr w:type="spellEnd"/>
      <w:r w:rsidRPr="008F62DD">
        <w:rPr>
          <w:sz w:val="24"/>
          <w:szCs w:val="24"/>
        </w:rPr>
        <w:t xml:space="preserve"> ANBIMA, contendo as sessões 1, 2 e 3;</w:t>
      </w:r>
    </w:p>
    <w:p w:rsidR="00715AAA" w:rsidRPr="008F62DD" w:rsidRDefault="00715AAA" w:rsidP="00715AAA">
      <w:pPr>
        <w:pStyle w:val="PargrafodaLista"/>
        <w:numPr>
          <w:ilvl w:val="2"/>
          <w:numId w:val="1"/>
        </w:numPr>
        <w:ind w:left="1418" w:hanging="646"/>
        <w:contextualSpacing w:val="0"/>
        <w:jc w:val="both"/>
        <w:rPr>
          <w:sz w:val="24"/>
          <w:szCs w:val="24"/>
        </w:rPr>
      </w:pPr>
      <w:r w:rsidRPr="008F62DD">
        <w:rPr>
          <w:sz w:val="24"/>
          <w:szCs w:val="24"/>
        </w:rPr>
        <w:t xml:space="preserve">Relatório de </w:t>
      </w:r>
      <w:r w:rsidRPr="008F62DD">
        <w:rPr>
          <w:i/>
          <w:sz w:val="24"/>
          <w:szCs w:val="24"/>
        </w:rPr>
        <w:t>Rating</w:t>
      </w:r>
      <w:r w:rsidRPr="008F62DD">
        <w:rPr>
          <w:sz w:val="24"/>
          <w:szCs w:val="24"/>
        </w:rPr>
        <w:t>;</w:t>
      </w:r>
    </w:p>
    <w:p w:rsidR="00020F86" w:rsidRPr="008F62DD" w:rsidRDefault="00715AAA" w:rsidP="00020F86">
      <w:pPr>
        <w:pStyle w:val="PargrafodaLista"/>
        <w:numPr>
          <w:ilvl w:val="1"/>
          <w:numId w:val="1"/>
        </w:numPr>
        <w:contextualSpacing w:val="0"/>
        <w:jc w:val="both"/>
        <w:rPr>
          <w:b/>
          <w:sz w:val="24"/>
          <w:szCs w:val="24"/>
          <w:u w:val="single"/>
        </w:rPr>
      </w:pPr>
      <w:r w:rsidRPr="008F62DD">
        <w:rPr>
          <w:b/>
          <w:sz w:val="24"/>
          <w:szCs w:val="24"/>
          <w:u w:val="single"/>
        </w:rPr>
        <w:t>Para Distribuidores e Agentes Autônomos</w:t>
      </w:r>
      <w:r w:rsidR="00020F86" w:rsidRPr="008F62DD">
        <w:rPr>
          <w:b/>
          <w:sz w:val="24"/>
          <w:szCs w:val="24"/>
          <w:u w:val="single"/>
        </w:rPr>
        <w:t>:</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 xml:space="preserve"> Ato Constitutivo, Estatuto ou contrato social em vigor e alterações subsequentes, devidamente registrada em cartório, em se tratando de sociedades comerciais, e, no caso de sociedades por ações, acompanhada da ata da assembleia da última eleição de seus administradores e diretoria, devidamente registrada;</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Ato de Registro ou autorização para funcionamento expedido pelo Banco Central do Brasil ou pela Comissão de Valores Mobiliários (CVM) ou outro órgão competente;</w:t>
      </w:r>
    </w:p>
    <w:p w:rsidR="00715AAA" w:rsidRPr="008F62DD" w:rsidRDefault="00715AAA" w:rsidP="00715AAA">
      <w:pPr>
        <w:pStyle w:val="PargrafodaLista"/>
        <w:numPr>
          <w:ilvl w:val="2"/>
          <w:numId w:val="1"/>
        </w:numPr>
        <w:ind w:left="1418" w:hanging="567"/>
        <w:contextualSpacing w:val="0"/>
        <w:jc w:val="both"/>
        <w:rPr>
          <w:sz w:val="24"/>
          <w:szCs w:val="24"/>
        </w:rPr>
      </w:pPr>
      <w:r w:rsidRPr="008F62DD">
        <w:rPr>
          <w:sz w:val="24"/>
          <w:szCs w:val="24"/>
        </w:rPr>
        <w:t>Contrato para distribuição e mediação do produto ofertado, quando não previsto no regulamento do Fundo</w:t>
      </w:r>
      <w:r w:rsidR="008D410C" w:rsidRPr="008F62DD">
        <w:rPr>
          <w:sz w:val="24"/>
          <w:szCs w:val="24"/>
        </w:rPr>
        <w:t>.</w:t>
      </w:r>
    </w:p>
    <w:p w:rsidR="00FA26B6" w:rsidRPr="008F62DD" w:rsidRDefault="00FA26B6" w:rsidP="007F0245">
      <w:pPr>
        <w:pStyle w:val="PargrafodaLista"/>
        <w:numPr>
          <w:ilvl w:val="1"/>
          <w:numId w:val="1"/>
        </w:numPr>
        <w:contextualSpacing w:val="0"/>
        <w:jc w:val="both"/>
        <w:rPr>
          <w:sz w:val="24"/>
          <w:szCs w:val="24"/>
        </w:rPr>
      </w:pPr>
      <w:r w:rsidRPr="008F62DD">
        <w:rPr>
          <w:sz w:val="24"/>
          <w:szCs w:val="24"/>
        </w:rPr>
        <w:t>Os documentos requisitados e anexados deverão estar dentro da validade quando da inserção deste no sistema.</w:t>
      </w:r>
    </w:p>
    <w:p w:rsidR="00FA26B6" w:rsidRPr="008F62DD" w:rsidRDefault="00FA26B6" w:rsidP="007F0245">
      <w:pPr>
        <w:pStyle w:val="PargrafodaLista"/>
        <w:numPr>
          <w:ilvl w:val="1"/>
          <w:numId w:val="1"/>
        </w:numPr>
        <w:contextualSpacing w:val="0"/>
        <w:jc w:val="both"/>
        <w:rPr>
          <w:sz w:val="24"/>
          <w:szCs w:val="24"/>
        </w:rPr>
      </w:pPr>
      <w:r w:rsidRPr="008F62DD">
        <w:rPr>
          <w:sz w:val="24"/>
          <w:szCs w:val="24"/>
        </w:rPr>
        <w:t xml:space="preserve">Quando o documento não dispor de data de validade, </w:t>
      </w:r>
      <w:r w:rsidR="00A00387" w:rsidRPr="008F62DD">
        <w:rPr>
          <w:sz w:val="24"/>
          <w:szCs w:val="24"/>
        </w:rPr>
        <w:t xml:space="preserve">a </w:t>
      </w:r>
      <w:r w:rsidRPr="008F62DD">
        <w:rPr>
          <w:sz w:val="24"/>
          <w:szCs w:val="24"/>
        </w:rPr>
        <w:t>mesm</w:t>
      </w:r>
      <w:r w:rsidR="00A00387" w:rsidRPr="008F62DD">
        <w:rPr>
          <w:sz w:val="24"/>
          <w:szCs w:val="24"/>
        </w:rPr>
        <w:t>a</w:t>
      </w:r>
      <w:r w:rsidRPr="008F62DD">
        <w:rPr>
          <w:sz w:val="24"/>
          <w:szCs w:val="24"/>
        </w:rPr>
        <w:t xml:space="preserve"> </w:t>
      </w:r>
      <w:r w:rsidR="00A00387" w:rsidRPr="008F62DD">
        <w:rPr>
          <w:sz w:val="24"/>
          <w:szCs w:val="24"/>
        </w:rPr>
        <w:t>deverá ser considerada como 90 (noventa) dias da data de emissão do documento</w:t>
      </w:r>
    </w:p>
    <w:p w:rsidR="00C56D13" w:rsidRPr="008F62DD" w:rsidRDefault="00C56D13" w:rsidP="00AB2657">
      <w:pPr>
        <w:pStyle w:val="PargrafodaLista"/>
        <w:numPr>
          <w:ilvl w:val="0"/>
          <w:numId w:val="1"/>
        </w:numPr>
        <w:contextualSpacing w:val="0"/>
        <w:jc w:val="both"/>
        <w:rPr>
          <w:b/>
          <w:sz w:val="24"/>
          <w:szCs w:val="24"/>
        </w:rPr>
      </w:pPr>
      <w:r w:rsidRPr="008F62DD">
        <w:rPr>
          <w:b/>
          <w:sz w:val="24"/>
          <w:szCs w:val="24"/>
        </w:rPr>
        <w:t>DISPOSIÇÕES FINAIS</w:t>
      </w:r>
    </w:p>
    <w:p w:rsidR="00D41A96" w:rsidRPr="008F62DD" w:rsidRDefault="00D41A96" w:rsidP="00D41A96">
      <w:pPr>
        <w:pStyle w:val="PargrafodaLista"/>
        <w:numPr>
          <w:ilvl w:val="1"/>
          <w:numId w:val="1"/>
        </w:numPr>
        <w:contextualSpacing w:val="0"/>
        <w:jc w:val="both"/>
        <w:rPr>
          <w:sz w:val="24"/>
          <w:szCs w:val="24"/>
        </w:rPr>
      </w:pPr>
      <w:r w:rsidRPr="008F62DD">
        <w:rPr>
          <w:sz w:val="24"/>
          <w:szCs w:val="24"/>
        </w:rPr>
        <w:t>Os documentos que deverão ser apresentados para o Credenciamento deverão estar dentro de sua validade na data do Cadastramento, sem rasuras, emendas ou borrões, em sua via original ou cópia simples, sendo que, sua veracidade, poderá ser efetuada pelo INSTITUTO, a qualquer momento, por comparação ao documento original (quando cópia) ou pela validação no site emissor do documento/certidão.</w:t>
      </w:r>
    </w:p>
    <w:p w:rsidR="00D41A96" w:rsidRPr="008F62DD" w:rsidRDefault="00D41A96" w:rsidP="00D41A96">
      <w:pPr>
        <w:pStyle w:val="PargrafodaLista"/>
        <w:numPr>
          <w:ilvl w:val="1"/>
          <w:numId w:val="1"/>
        </w:numPr>
        <w:contextualSpacing w:val="0"/>
        <w:jc w:val="both"/>
        <w:rPr>
          <w:sz w:val="24"/>
          <w:szCs w:val="24"/>
        </w:rPr>
      </w:pPr>
      <w:r w:rsidRPr="008F62DD">
        <w:rPr>
          <w:sz w:val="24"/>
          <w:szCs w:val="24"/>
        </w:rPr>
        <w:t>Os documentos ou certidões que não contiverem, em sua via, data de validade, considerar-se-ão válidos os com emissão não superior a 90 (noventa) dias da data do Credenciamento.</w:t>
      </w:r>
    </w:p>
    <w:p w:rsidR="00453A67" w:rsidRPr="008F62DD" w:rsidRDefault="00C56D13" w:rsidP="00C56D13">
      <w:pPr>
        <w:pStyle w:val="PargrafodaLista"/>
        <w:numPr>
          <w:ilvl w:val="1"/>
          <w:numId w:val="1"/>
        </w:numPr>
        <w:contextualSpacing w:val="0"/>
        <w:jc w:val="both"/>
        <w:rPr>
          <w:sz w:val="24"/>
          <w:szCs w:val="24"/>
        </w:rPr>
      </w:pPr>
      <w:r w:rsidRPr="008F62DD">
        <w:rPr>
          <w:sz w:val="24"/>
          <w:szCs w:val="24"/>
        </w:rPr>
        <w:t xml:space="preserve">A qualquer tempo a Instituição poderá ter o </w:t>
      </w:r>
      <w:r w:rsidR="00A00387" w:rsidRPr="008F62DD">
        <w:rPr>
          <w:sz w:val="24"/>
          <w:szCs w:val="24"/>
        </w:rPr>
        <w:t>C</w:t>
      </w:r>
      <w:r w:rsidRPr="008F62DD">
        <w:rPr>
          <w:sz w:val="24"/>
          <w:szCs w:val="24"/>
        </w:rPr>
        <w:t>redenciamento alterado, suspenso ou cancelado, sem que caiba qualquer indenização aos credenciados.</w:t>
      </w:r>
    </w:p>
    <w:p w:rsidR="00453A67" w:rsidRPr="008F62DD" w:rsidRDefault="00C56D13" w:rsidP="00C12AC6">
      <w:pPr>
        <w:pStyle w:val="PargrafodaLista"/>
        <w:numPr>
          <w:ilvl w:val="1"/>
          <w:numId w:val="1"/>
        </w:numPr>
        <w:contextualSpacing w:val="0"/>
        <w:jc w:val="both"/>
        <w:rPr>
          <w:sz w:val="24"/>
          <w:szCs w:val="24"/>
        </w:rPr>
      </w:pPr>
      <w:r w:rsidRPr="008F62DD">
        <w:rPr>
          <w:sz w:val="24"/>
          <w:szCs w:val="24"/>
        </w:rPr>
        <w:t xml:space="preserve">Não existirá um número mínimo ou máximo de vagas para </w:t>
      </w:r>
      <w:r w:rsidR="00A00387" w:rsidRPr="008F62DD">
        <w:rPr>
          <w:sz w:val="24"/>
          <w:szCs w:val="24"/>
        </w:rPr>
        <w:t>C</w:t>
      </w:r>
      <w:r w:rsidRPr="008F62DD">
        <w:rPr>
          <w:sz w:val="24"/>
          <w:szCs w:val="24"/>
        </w:rPr>
        <w:t>redenciamento, pois se trata da formação de um banco de credenciados para prestação de serviços para o RPPS.</w:t>
      </w:r>
    </w:p>
    <w:p w:rsidR="00453A67" w:rsidRPr="008F62DD" w:rsidRDefault="00C12AC6" w:rsidP="00C12AC6">
      <w:pPr>
        <w:pStyle w:val="PargrafodaLista"/>
        <w:numPr>
          <w:ilvl w:val="1"/>
          <w:numId w:val="1"/>
        </w:numPr>
        <w:contextualSpacing w:val="0"/>
        <w:jc w:val="both"/>
        <w:rPr>
          <w:sz w:val="24"/>
          <w:szCs w:val="24"/>
        </w:rPr>
      </w:pPr>
      <w:r w:rsidRPr="008F62DD">
        <w:rPr>
          <w:sz w:val="24"/>
          <w:szCs w:val="24"/>
        </w:rPr>
        <w:lastRenderedPageBreak/>
        <w:t>O Credenciamento não estabelece quaisquer obrigações do INSTITUTO em vincular qualquer tipo de parceria, relação comercial ou de efetuar aplicações em fundos de investimento.</w:t>
      </w:r>
    </w:p>
    <w:p w:rsidR="00A00387" w:rsidRPr="008F62DD" w:rsidRDefault="00A00387" w:rsidP="00C12AC6">
      <w:pPr>
        <w:pStyle w:val="PargrafodaLista"/>
        <w:numPr>
          <w:ilvl w:val="1"/>
          <w:numId w:val="1"/>
        </w:numPr>
        <w:contextualSpacing w:val="0"/>
        <w:jc w:val="both"/>
        <w:rPr>
          <w:sz w:val="24"/>
          <w:szCs w:val="24"/>
        </w:rPr>
      </w:pPr>
      <w:r w:rsidRPr="008F62DD">
        <w:rPr>
          <w:sz w:val="24"/>
          <w:szCs w:val="24"/>
        </w:rPr>
        <w:t>Não será efetuado nenhum tipo de Credenciamento a não ser nos moldes dispostos neste Edital.</w:t>
      </w:r>
    </w:p>
    <w:p w:rsidR="00A00387" w:rsidRPr="008F62DD" w:rsidRDefault="00A00387" w:rsidP="00C12AC6">
      <w:pPr>
        <w:pStyle w:val="PargrafodaLista"/>
        <w:numPr>
          <w:ilvl w:val="1"/>
          <w:numId w:val="1"/>
        </w:numPr>
        <w:contextualSpacing w:val="0"/>
        <w:jc w:val="both"/>
        <w:rPr>
          <w:sz w:val="24"/>
          <w:szCs w:val="24"/>
        </w:rPr>
      </w:pPr>
      <w:r w:rsidRPr="008F62DD">
        <w:rPr>
          <w:sz w:val="24"/>
          <w:szCs w:val="24"/>
        </w:rPr>
        <w:t>O Credenciamento poderá sofrer atualizações, alterações ou modificações, conforme haja necessidade, tanto por parte deste INSTITUTO como por necessidade de adequação legal, tendo que,</w:t>
      </w:r>
      <w:r w:rsidR="00517046" w:rsidRPr="008F62DD">
        <w:rPr>
          <w:sz w:val="24"/>
          <w:szCs w:val="24"/>
        </w:rPr>
        <w:t xml:space="preserve"> os já c</w:t>
      </w:r>
      <w:r w:rsidRPr="008F62DD">
        <w:rPr>
          <w:sz w:val="24"/>
          <w:szCs w:val="24"/>
        </w:rPr>
        <w:t>redenciados, deverão se adequar ao novo instrumento editalício para que seja mantido válido o Credenciamento efetuado.</w:t>
      </w:r>
    </w:p>
    <w:p w:rsidR="00A00387" w:rsidRPr="008F62DD" w:rsidRDefault="00A00387" w:rsidP="00C12AC6">
      <w:pPr>
        <w:pStyle w:val="PargrafodaLista"/>
        <w:numPr>
          <w:ilvl w:val="1"/>
          <w:numId w:val="1"/>
        </w:numPr>
        <w:contextualSpacing w:val="0"/>
        <w:jc w:val="both"/>
        <w:rPr>
          <w:sz w:val="24"/>
          <w:szCs w:val="24"/>
        </w:rPr>
      </w:pPr>
      <w:r w:rsidRPr="008F62DD">
        <w:rPr>
          <w:sz w:val="24"/>
          <w:szCs w:val="24"/>
        </w:rPr>
        <w:t xml:space="preserve">Os critérios de aprovação ou reprovação da Instituição Interessada pelo INSTITUTO é por </w:t>
      </w:r>
      <w:r w:rsidR="006D57CE" w:rsidRPr="008F62DD">
        <w:rPr>
          <w:sz w:val="24"/>
          <w:szCs w:val="24"/>
        </w:rPr>
        <w:t xml:space="preserve">análise do atendimento aos termos do Edital e </w:t>
      </w:r>
      <w:r w:rsidRPr="008F62DD">
        <w:rPr>
          <w:sz w:val="24"/>
          <w:szCs w:val="24"/>
        </w:rPr>
        <w:t>discricionariedade</w:t>
      </w:r>
      <w:r w:rsidR="006D57CE" w:rsidRPr="008F62DD">
        <w:rPr>
          <w:sz w:val="24"/>
          <w:szCs w:val="24"/>
        </w:rPr>
        <w:t xml:space="preserve"> do Comitê de Investimento</w:t>
      </w:r>
      <w:r w:rsidRPr="008F62DD">
        <w:rPr>
          <w:sz w:val="24"/>
          <w:szCs w:val="24"/>
        </w:rPr>
        <w:t>, não cabendo</w:t>
      </w:r>
      <w:r w:rsidR="006D57CE" w:rsidRPr="008F62DD">
        <w:rPr>
          <w:sz w:val="24"/>
          <w:szCs w:val="24"/>
        </w:rPr>
        <w:t xml:space="preserve"> assim, obrigatoriedade quanto a aceitação ou não no rol de Entidades Credenciadas no INSTITUTO.</w:t>
      </w:r>
    </w:p>
    <w:p w:rsidR="00C12AC6" w:rsidRPr="008F62DD" w:rsidRDefault="00C12AC6" w:rsidP="00C12AC6">
      <w:pPr>
        <w:pStyle w:val="PargrafodaLista"/>
        <w:numPr>
          <w:ilvl w:val="1"/>
          <w:numId w:val="1"/>
        </w:numPr>
        <w:contextualSpacing w:val="0"/>
        <w:jc w:val="both"/>
        <w:rPr>
          <w:sz w:val="24"/>
          <w:szCs w:val="24"/>
        </w:rPr>
      </w:pPr>
      <w:r w:rsidRPr="008F62DD">
        <w:rPr>
          <w:sz w:val="24"/>
          <w:szCs w:val="24"/>
        </w:rPr>
        <w:t>Este Edital entrará em vigor na data de sua publicação e poderá ser revisado e alterado a qualquer momento a critério do INSTITUTO</w:t>
      </w:r>
    </w:p>
    <w:p w:rsidR="006D57CE" w:rsidRPr="008F62DD" w:rsidRDefault="00C75833" w:rsidP="00C12AC6">
      <w:pPr>
        <w:pStyle w:val="PargrafodaLista"/>
        <w:numPr>
          <w:ilvl w:val="1"/>
          <w:numId w:val="1"/>
        </w:numPr>
        <w:contextualSpacing w:val="0"/>
        <w:jc w:val="both"/>
        <w:rPr>
          <w:sz w:val="24"/>
          <w:szCs w:val="24"/>
        </w:rPr>
      </w:pPr>
      <w:r w:rsidRPr="008F62DD">
        <w:rPr>
          <w:sz w:val="24"/>
          <w:szCs w:val="24"/>
        </w:rPr>
        <w:t>Faze</w:t>
      </w:r>
      <w:r w:rsidR="006D57CE" w:rsidRPr="008F62DD">
        <w:rPr>
          <w:sz w:val="24"/>
          <w:szCs w:val="24"/>
        </w:rPr>
        <w:t xml:space="preserve"> parte integrante deste Edital, o Anexo I</w:t>
      </w:r>
      <w:r w:rsidRPr="008F62DD">
        <w:rPr>
          <w:sz w:val="24"/>
          <w:szCs w:val="24"/>
        </w:rPr>
        <w:t xml:space="preserve"> (Instruções do Credenciamento no Portal Eletrônico)</w:t>
      </w:r>
    </w:p>
    <w:p w:rsidR="006D57CE" w:rsidRPr="008F62DD" w:rsidRDefault="006D57CE" w:rsidP="00C12AC6">
      <w:pPr>
        <w:pStyle w:val="PargrafodaLista"/>
        <w:numPr>
          <w:ilvl w:val="1"/>
          <w:numId w:val="1"/>
        </w:numPr>
        <w:contextualSpacing w:val="0"/>
        <w:jc w:val="both"/>
        <w:rPr>
          <w:sz w:val="24"/>
          <w:szCs w:val="24"/>
        </w:rPr>
      </w:pPr>
      <w:r w:rsidRPr="008F62DD">
        <w:rPr>
          <w:sz w:val="24"/>
          <w:szCs w:val="24"/>
        </w:rPr>
        <w:t>Fica eleito o Foro da Comarca deste INSTITUTO como o competente para a resolução de qualquer divergência existente, sobrepondo a qualquer outro.</w:t>
      </w:r>
    </w:p>
    <w:p w:rsidR="006D57CE" w:rsidRPr="008F62DD" w:rsidRDefault="006D57CE" w:rsidP="006D57CE">
      <w:pPr>
        <w:pStyle w:val="PargrafodaLista"/>
        <w:ind w:left="792"/>
        <w:contextualSpacing w:val="0"/>
        <w:jc w:val="both"/>
        <w:rPr>
          <w:sz w:val="24"/>
          <w:szCs w:val="24"/>
        </w:rPr>
      </w:pPr>
    </w:p>
    <w:p w:rsidR="00D41A96" w:rsidRPr="008F62DD" w:rsidRDefault="008F62DD" w:rsidP="008F62DD">
      <w:pPr>
        <w:jc w:val="center"/>
        <w:rPr>
          <w:sz w:val="24"/>
          <w:szCs w:val="24"/>
        </w:rPr>
      </w:pPr>
      <w:r w:rsidRPr="008F62DD">
        <w:rPr>
          <w:sz w:val="24"/>
          <w:szCs w:val="24"/>
        </w:rPr>
        <w:t>Santa Mônica – Pr., 10 de abril de 2019</w:t>
      </w:r>
    </w:p>
    <w:p w:rsidR="008F62DD" w:rsidRPr="008F62DD" w:rsidRDefault="008F62DD" w:rsidP="00AB2657">
      <w:pPr>
        <w:jc w:val="both"/>
        <w:rPr>
          <w:sz w:val="24"/>
          <w:szCs w:val="24"/>
        </w:rPr>
      </w:pPr>
    </w:p>
    <w:p w:rsidR="008F62DD" w:rsidRPr="008F62DD" w:rsidRDefault="008F62DD" w:rsidP="00AB2657">
      <w:pPr>
        <w:jc w:val="both"/>
        <w:rPr>
          <w:sz w:val="24"/>
          <w:szCs w:val="24"/>
        </w:rPr>
      </w:pPr>
    </w:p>
    <w:p w:rsidR="00D41A96" w:rsidRPr="008F62DD" w:rsidRDefault="00D41A96" w:rsidP="00D41A96">
      <w:pPr>
        <w:jc w:val="center"/>
        <w:rPr>
          <w:sz w:val="24"/>
          <w:szCs w:val="24"/>
        </w:rPr>
      </w:pPr>
      <w:r w:rsidRPr="008F62DD">
        <w:rPr>
          <w:sz w:val="24"/>
          <w:szCs w:val="24"/>
        </w:rPr>
        <w:t>______________________________</w:t>
      </w:r>
    </w:p>
    <w:p w:rsidR="00D41A96" w:rsidRPr="008F62DD" w:rsidRDefault="008F62DD" w:rsidP="00D41A96">
      <w:pPr>
        <w:jc w:val="center"/>
        <w:rPr>
          <w:sz w:val="24"/>
          <w:szCs w:val="24"/>
        </w:rPr>
      </w:pPr>
      <w:r w:rsidRPr="008F62DD">
        <w:rPr>
          <w:sz w:val="24"/>
          <w:szCs w:val="24"/>
        </w:rPr>
        <w:t>SANTA MÔNICA PREV</w:t>
      </w:r>
    </w:p>
    <w:p w:rsidR="007F168C" w:rsidRDefault="007F168C" w:rsidP="00D41A96">
      <w:pPr>
        <w:jc w:val="center"/>
        <w:rPr>
          <w:sz w:val="28"/>
          <w:szCs w:val="28"/>
        </w:rPr>
      </w:pPr>
    </w:p>
    <w:p w:rsidR="007F168C" w:rsidRDefault="007F168C" w:rsidP="00D41A96">
      <w:pPr>
        <w:jc w:val="center"/>
        <w:rPr>
          <w:sz w:val="28"/>
          <w:szCs w:val="28"/>
        </w:rPr>
      </w:pPr>
    </w:p>
    <w:p w:rsidR="008F62DD" w:rsidRDefault="008F62DD" w:rsidP="00D41A96">
      <w:pPr>
        <w:jc w:val="center"/>
        <w:rPr>
          <w:sz w:val="28"/>
          <w:szCs w:val="28"/>
        </w:rPr>
      </w:pPr>
    </w:p>
    <w:p w:rsidR="008F62DD" w:rsidRDefault="008F62DD" w:rsidP="00D41A96">
      <w:pPr>
        <w:jc w:val="center"/>
        <w:rPr>
          <w:sz w:val="28"/>
          <w:szCs w:val="28"/>
        </w:rPr>
      </w:pPr>
    </w:p>
    <w:p w:rsidR="008F62DD" w:rsidRDefault="008F62DD" w:rsidP="00D41A96">
      <w:pPr>
        <w:jc w:val="center"/>
        <w:rPr>
          <w:sz w:val="28"/>
          <w:szCs w:val="28"/>
        </w:rPr>
      </w:pPr>
    </w:p>
    <w:p w:rsidR="008F62DD" w:rsidRDefault="008F62DD" w:rsidP="00D41A96">
      <w:pPr>
        <w:jc w:val="center"/>
        <w:rPr>
          <w:sz w:val="28"/>
          <w:szCs w:val="28"/>
        </w:rPr>
      </w:pPr>
      <w:bookmarkStart w:id="0" w:name="_GoBack"/>
      <w:bookmarkEnd w:id="0"/>
    </w:p>
    <w:p w:rsidR="008F62DD" w:rsidRDefault="008F62DD" w:rsidP="00D41A96">
      <w:pPr>
        <w:jc w:val="center"/>
        <w:rPr>
          <w:sz w:val="28"/>
          <w:szCs w:val="28"/>
        </w:rPr>
      </w:pPr>
    </w:p>
    <w:p w:rsidR="00C75F50" w:rsidRDefault="00C75F50" w:rsidP="00C75F50">
      <w:pPr>
        <w:jc w:val="center"/>
        <w:rPr>
          <w:b/>
          <w:sz w:val="28"/>
          <w:szCs w:val="28"/>
        </w:rPr>
      </w:pPr>
      <w:r w:rsidRPr="00A00387">
        <w:rPr>
          <w:b/>
          <w:sz w:val="28"/>
          <w:szCs w:val="28"/>
        </w:rPr>
        <w:lastRenderedPageBreak/>
        <w:t>ANEXO I</w:t>
      </w:r>
    </w:p>
    <w:p w:rsidR="00620E65" w:rsidRDefault="00620E65" w:rsidP="00620E65">
      <w:pPr>
        <w:jc w:val="center"/>
        <w:rPr>
          <w:b/>
          <w:sz w:val="28"/>
          <w:szCs w:val="28"/>
        </w:rPr>
      </w:pPr>
      <w:r>
        <w:rPr>
          <w:b/>
          <w:sz w:val="28"/>
          <w:szCs w:val="28"/>
        </w:rPr>
        <w:t>INSTRUÇÕES DE CREDENCIAMENTO NO PORTAL ELETRÔNICO</w:t>
      </w:r>
    </w:p>
    <w:p w:rsidR="00620E65" w:rsidRDefault="00620E65" w:rsidP="00C75F50">
      <w:pPr>
        <w:jc w:val="center"/>
        <w:rPr>
          <w:b/>
          <w:sz w:val="28"/>
          <w:szCs w:val="28"/>
        </w:rPr>
      </w:pPr>
      <w:r>
        <w:rPr>
          <w:b/>
          <w:sz w:val="28"/>
          <w:szCs w:val="28"/>
        </w:rPr>
        <w:t>Instruções Básicas</w:t>
      </w:r>
    </w:p>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O objetivo desta ferramenta é o de facilitar o trabalho de todos os envolvidos no processo de Credenciamento. Esta versão contempla o armazenamento de informações e documentos pelos Administradores, Gestores e Distribuidores</w:t>
      </w:r>
      <w:r w:rsidR="0051796A" w:rsidRPr="008F62DD">
        <w:rPr>
          <w:rFonts w:ascii="Calibri" w:eastAsia="Calibri" w:hAnsi="Calibri" w:cs="Times New Roman"/>
          <w:sz w:val="24"/>
          <w:szCs w:val="24"/>
        </w:rPr>
        <w:t>, a serem utilizadas no credenciamento, junto a este INSTITUTO</w:t>
      </w:r>
      <w:r w:rsidRPr="008F62DD">
        <w:rPr>
          <w:rFonts w:ascii="Calibri" w:eastAsia="Calibri" w:hAnsi="Calibri" w:cs="Times New Roman"/>
          <w:sz w:val="24"/>
          <w:szCs w:val="24"/>
        </w:rPr>
        <w:t>.</w:t>
      </w:r>
    </w:p>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Para o envio das informações, seguem as instruções:</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Os formatos de arquivo permitidos são: PDF, DOC e DOCX</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 xml:space="preserve">Os documentos Contrato Social, </w:t>
      </w:r>
      <w:proofErr w:type="spellStart"/>
      <w:r w:rsidRPr="008F62DD">
        <w:rPr>
          <w:rFonts w:ascii="Calibri" w:eastAsia="Calibri" w:hAnsi="Calibri" w:cs="Times New Roman"/>
          <w:i/>
          <w:sz w:val="24"/>
          <w:szCs w:val="24"/>
        </w:rPr>
        <w:t>Due</w:t>
      </w:r>
      <w:proofErr w:type="spellEnd"/>
      <w:r w:rsidRPr="008F62DD">
        <w:rPr>
          <w:rFonts w:ascii="Calibri" w:eastAsia="Calibri" w:hAnsi="Calibri" w:cs="Times New Roman"/>
          <w:i/>
          <w:sz w:val="24"/>
          <w:szCs w:val="24"/>
        </w:rPr>
        <w:t xml:space="preserve"> </w:t>
      </w:r>
      <w:proofErr w:type="spellStart"/>
      <w:r w:rsidRPr="008F62DD">
        <w:rPr>
          <w:rFonts w:ascii="Calibri" w:eastAsia="Calibri" w:hAnsi="Calibri" w:cs="Times New Roman"/>
          <w:i/>
          <w:sz w:val="24"/>
          <w:szCs w:val="24"/>
        </w:rPr>
        <w:t>Diligence</w:t>
      </w:r>
      <w:proofErr w:type="spellEnd"/>
      <w:r w:rsidRPr="008F62DD">
        <w:rPr>
          <w:rFonts w:ascii="Calibri" w:eastAsia="Calibri" w:hAnsi="Calibri" w:cs="Times New Roman"/>
          <w:sz w:val="24"/>
          <w:szCs w:val="24"/>
        </w:rPr>
        <w:t xml:space="preserve"> ANBIMA e Termo de Análise de Fundos permitem também arquivos nos formatos ZIP e RAR</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O sistema inclui automaticamente no nome do arquivo um prefixo para identificação do gestor</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O sistema não permite o envio de arquivos com o mesmo nome de arquivo enviado anteriormente</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O sistema exibe somente o nome do último arquivo enviado, mas mantém em suas bases de dados todos os arquivos enviados</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 xml:space="preserve">O sistema não permite o envio de arquivos do mesmo tipo com a mesma data de vencimento. Caso haja necessidade de substituir algum arquivo, </w:t>
      </w:r>
      <w:r w:rsidR="0051796A" w:rsidRPr="008F62DD">
        <w:rPr>
          <w:rFonts w:ascii="Calibri" w:eastAsia="Calibri" w:hAnsi="Calibri" w:cs="Times New Roman"/>
          <w:sz w:val="24"/>
          <w:szCs w:val="24"/>
        </w:rPr>
        <w:t xml:space="preserve">deverá ser enviado um e-mail para o endereço </w:t>
      </w:r>
      <w:hyperlink r:id="rId8" w:history="1">
        <w:r w:rsidR="0051796A" w:rsidRPr="008F62DD">
          <w:rPr>
            <w:rStyle w:val="Hyperlink"/>
            <w:rFonts w:ascii="Calibri" w:eastAsia="Calibri" w:hAnsi="Calibri" w:cs="Times New Roman"/>
            <w:sz w:val="24"/>
            <w:szCs w:val="24"/>
          </w:rPr>
          <w:t>contato@siru.com.br</w:t>
        </w:r>
      </w:hyperlink>
      <w:r w:rsidR="0051796A" w:rsidRPr="008F62DD">
        <w:rPr>
          <w:rFonts w:ascii="Calibri" w:eastAsia="Calibri" w:hAnsi="Calibri" w:cs="Times New Roman"/>
          <w:sz w:val="24"/>
          <w:szCs w:val="24"/>
        </w:rPr>
        <w:t xml:space="preserve">, solicitando a substituição do </w:t>
      </w:r>
      <w:r w:rsidR="00D41A96" w:rsidRPr="008F62DD">
        <w:rPr>
          <w:rFonts w:ascii="Calibri" w:eastAsia="Calibri" w:hAnsi="Calibri" w:cs="Times New Roman"/>
          <w:sz w:val="24"/>
          <w:szCs w:val="24"/>
        </w:rPr>
        <w:t>arquivo</w:t>
      </w:r>
      <w:r w:rsidRPr="008F62DD">
        <w:rPr>
          <w:rFonts w:ascii="Calibri" w:eastAsia="Calibri" w:hAnsi="Calibri" w:cs="Times New Roman"/>
          <w:sz w:val="24"/>
          <w:szCs w:val="24"/>
        </w:rPr>
        <w:t>.</w:t>
      </w: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 xml:space="preserve">Obrigatoriedade de envio dos documentos: </w:t>
      </w:r>
    </w:p>
    <w:p w:rsidR="00620E65" w:rsidRPr="008F62DD" w:rsidRDefault="00620E65" w:rsidP="00620E65">
      <w:pPr>
        <w:spacing w:after="0" w:line="276" w:lineRule="auto"/>
        <w:ind w:left="360"/>
        <w:contextualSpacing/>
        <w:jc w:val="both"/>
        <w:rPr>
          <w:rFonts w:ascii="Calibri" w:eastAsia="Calibri" w:hAnsi="Calibri" w:cs="Times New Roman"/>
          <w:sz w:val="24"/>
          <w:szCs w:val="24"/>
        </w:rPr>
      </w:pPr>
    </w:p>
    <w:tbl>
      <w:tblPr>
        <w:tblStyle w:val="Tabelacomgrade"/>
        <w:tblW w:w="0" w:type="auto"/>
        <w:tblInd w:w="534" w:type="dxa"/>
        <w:tblLook w:val="04A0" w:firstRow="1" w:lastRow="0" w:firstColumn="1" w:lastColumn="0" w:noHBand="0" w:noVBand="1"/>
      </w:tblPr>
      <w:tblGrid>
        <w:gridCol w:w="5811"/>
        <w:gridCol w:w="1560"/>
        <w:gridCol w:w="1715"/>
      </w:tblGrid>
      <w:tr w:rsidR="00620E65" w:rsidRPr="008F62DD" w:rsidTr="00671BDA">
        <w:tc>
          <w:tcPr>
            <w:tcW w:w="5811" w:type="dxa"/>
          </w:tcPr>
          <w:p w:rsidR="00620E65" w:rsidRPr="008F62DD" w:rsidRDefault="00620E65" w:rsidP="00620E65">
            <w:pPr>
              <w:spacing w:after="200" w:line="276" w:lineRule="auto"/>
              <w:jc w:val="center"/>
              <w:rPr>
                <w:rFonts w:ascii="Calibri" w:eastAsia="Calibri" w:hAnsi="Calibri" w:cs="Times New Roman"/>
                <w:b/>
                <w:sz w:val="24"/>
                <w:szCs w:val="24"/>
              </w:rPr>
            </w:pPr>
            <w:r w:rsidRPr="008F62DD">
              <w:rPr>
                <w:rFonts w:ascii="Calibri" w:eastAsia="Calibri" w:hAnsi="Calibri" w:cs="Times New Roman"/>
                <w:b/>
                <w:sz w:val="24"/>
                <w:szCs w:val="24"/>
              </w:rPr>
              <w:t>Documento</w:t>
            </w:r>
          </w:p>
        </w:tc>
        <w:tc>
          <w:tcPr>
            <w:tcW w:w="1560" w:type="dxa"/>
          </w:tcPr>
          <w:p w:rsidR="00620E65" w:rsidRPr="008F62DD" w:rsidRDefault="00620E65" w:rsidP="00620E65">
            <w:pPr>
              <w:spacing w:after="200" w:line="276" w:lineRule="auto"/>
              <w:jc w:val="center"/>
              <w:rPr>
                <w:rFonts w:ascii="Calibri" w:eastAsia="Calibri" w:hAnsi="Calibri" w:cs="Times New Roman"/>
                <w:b/>
                <w:sz w:val="24"/>
                <w:szCs w:val="24"/>
              </w:rPr>
            </w:pPr>
            <w:r w:rsidRPr="008F62DD">
              <w:rPr>
                <w:rFonts w:ascii="Calibri" w:eastAsia="Calibri" w:hAnsi="Calibri" w:cs="Times New Roman"/>
                <w:b/>
                <w:sz w:val="24"/>
                <w:szCs w:val="24"/>
              </w:rPr>
              <w:t>Adm / Gestor</w:t>
            </w:r>
          </w:p>
        </w:tc>
        <w:tc>
          <w:tcPr>
            <w:tcW w:w="1715" w:type="dxa"/>
          </w:tcPr>
          <w:p w:rsidR="00620E65" w:rsidRPr="008F62DD" w:rsidRDefault="00620E65" w:rsidP="00620E65">
            <w:pPr>
              <w:spacing w:after="200" w:line="276" w:lineRule="auto"/>
              <w:jc w:val="center"/>
              <w:rPr>
                <w:rFonts w:ascii="Calibri" w:eastAsia="Calibri" w:hAnsi="Calibri" w:cs="Times New Roman"/>
                <w:b/>
                <w:sz w:val="24"/>
                <w:szCs w:val="24"/>
              </w:rPr>
            </w:pPr>
            <w:r w:rsidRPr="008F62DD">
              <w:rPr>
                <w:rFonts w:ascii="Calibri" w:eastAsia="Calibri" w:hAnsi="Calibri" w:cs="Times New Roman"/>
                <w:b/>
                <w:sz w:val="24"/>
                <w:szCs w:val="24"/>
              </w:rPr>
              <w:t>Distribuidor</w:t>
            </w: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Atestado Fiscal Municipal</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Atestado Fiscal Estadual</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Atestado Fiscal Federal</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Atestado Previdenciário</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 xml:space="preserve">Relatório </w:t>
            </w:r>
            <w:proofErr w:type="spellStart"/>
            <w:r w:rsidRPr="008F62DD">
              <w:rPr>
                <w:rFonts w:ascii="Calibri" w:eastAsia="Calibri" w:hAnsi="Calibri" w:cs="Times New Roman"/>
                <w:sz w:val="24"/>
                <w:szCs w:val="24"/>
              </w:rPr>
              <w:t>Due</w:t>
            </w:r>
            <w:proofErr w:type="spellEnd"/>
            <w:r w:rsidRPr="008F62DD">
              <w:rPr>
                <w:rFonts w:ascii="Calibri" w:eastAsia="Calibri" w:hAnsi="Calibri" w:cs="Times New Roman"/>
                <w:sz w:val="24"/>
                <w:szCs w:val="24"/>
              </w:rPr>
              <w:t xml:space="preserve"> </w:t>
            </w:r>
            <w:proofErr w:type="spellStart"/>
            <w:r w:rsidRPr="008F62DD">
              <w:rPr>
                <w:rFonts w:ascii="Calibri" w:eastAsia="Calibri" w:hAnsi="Calibri" w:cs="Times New Roman"/>
                <w:sz w:val="24"/>
                <w:szCs w:val="24"/>
              </w:rPr>
              <w:t>Diligence</w:t>
            </w:r>
            <w:proofErr w:type="spellEnd"/>
            <w:r w:rsidRPr="008F62DD">
              <w:rPr>
                <w:rFonts w:ascii="Calibri" w:eastAsia="Calibri" w:hAnsi="Calibri" w:cs="Times New Roman"/>
                <w:sz w:val="24"/>
                <w:szCs w:val="24"/>
              </w:rPr>
              <w:t xml:space="preserve"> da ANBIMA</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620E65" w:rsidRPr="008F62DD" w:rsidTr="00671BDA">
        <w:tc>
          <w:tcPr>
            <w:tcW w:w="5811" w:type="dxa"/>
          </w:tcPr>
          <w:p w:rsidR="00620E65" w:rsidRPr="008F62DD" w:rsidRDefault="00620E65" w:rsidP="00620E65">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Relatório de Rating (Se opção “Possui Rating” for Sim)</w:t>
            </w:r>
          </w:p>
        </w:tc>
        <w:tc>
          <w:tcPr>
            <w:tcW w:w="1560" w:type="dxa"/>
          </w:tcPr>
          <w:p w:rsidR="00620E65" w:rsidRPr="008F62DD" w:rsidRDefault="00620E65" w:rsidP="00620E65">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620E65" w:rsidRPr="008F62DD" w:rsidRDefault="00620E65" w:rsidP="00620E65">
            <w:pPr>
              <w:spacing w:after="200" w:line="276" w:lineRule="auto"/>
              <w:jc w:val="center"/>
              <w:rPr>
                <w:rFonts w:ascii="Calibri" w:eastAsia="Calibri" w:hAnsi="Calibri" w:cs="Times New Roman"/>
                <w:sz w:val="24"/>
                <w:szCs w:val="24"/>
              </w:rPr>
            </w:pPr>
          </w:p>
        </w:tc>
      </w:tr>
      <w:tr w:rsidR="007452DF" w:rsidRPr="008F62DD" w:rsidTr="00671BDA">
        <w:tc>
          <w:tcPr>
            <w:tcW w:w="5811" w:type="dxa"/>
          </w:tcPr>
          <w:p w:rsidR="007452DF" w:rsidRPr="008F62DD" w:rsidRDefault="007452DF" w:rsidP="007452DF">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Ato de Registro ou Autorização de Funcionamento</w:t>
            </w:r>
          </w:p>
        </w:tc>
        <w:tc>
          <w:tcPr>
            <w:tcW w:w="1560" w:type="dxa"/>
          </w:tcPr>
          <w:p w:rsidR="007452DF" w:rsidRPr="008F62DD" w:rsidRDefault="007452DF" w:rsidP="007452DF">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7452DF" w:rsidRPr="008F62DD" w:rsidRDefault="007452DF" w:rsidP="007452DF">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r>
      <w:tr w:rsidR="007452DF" w:rsidRPr="008F62DD" w:rsidTr="00671BDA">
        <w:tc>
          <w:tcPr>
            <w:tcW w:w="5811" w:type="dxa"/>
          </w:tcPr>
          <w:p w:rsidR="007452DF" w:rsidRPr="008F62DD" w:rsidRDefault="007452DF" w:rsidP="007452DF">
            <w:pPr>
              <w:spacing w:after="200" w:line="276" w:lineRule="auto"/>
              <w:jc w:val="both"/>
              <w:rPr>
                <w:rFonts w:ascii="Calibri" w:eastAsia="Calibri" w:hAnsi="Calibri" w:cs="Times New Roman"/>
                <w:sz w:val="24"/>
                <w:szCs w:val="24"/>
              </w:rPr>
            </w:pPr>
            <w:r w:rsidRPr="008F62DD">
              <w:rPr>
                <w:rFonts w:ascii="Calibri" w:eastAsia="Calibri" w:hAnsi="Calibri" w:cs="Times New Roman"/>
                <w:sz w:val="24"/>
                <w:szCs w:val="24"/>
              </w:rPr>
              <w:t>Contrato Social</w:t>
            </w:r>
          </w:p>
        </w:tc>
        <w:tc>
          <w:tcPr>
            <w:tcW w:w="1560" w:type="dxa"/>
          </w:tcPr>
          <w:p w:rsidR="007452DF" w:rsidRPr="008F62DD" w:rsidRDefault="007452DF" w:rsidP="007452DF">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c>
          <w:tcPr>
            <w:tcW w:w="1715" w:type="dxa"/>
          </w:tcPr>
          <w:p w:rsidR="007452DF" w:rsidRPr="008F62DD" w:rsidRDefault="007452DF" w:rsidP="007452DF">
            <w:pPr>
              <w:spacing w:after="200" w:line="276" w:lineRule="auto"/>
              <w:jc w:val="center"/>
              <w:rPr>
                <w:rFonts w:ascii="Calibri" w:eastAsia="Calibri" w:hAnsi="Calibri" w:cs="Times New Roman"/>
                <w:sz w:val="24"/>
                <w:szCs w:val="24"/>
              </w:rPr>
            </w:pPr>
            <w:r w:rsidRPr="008F62DD">
              <w:rPr>
                <w:rFonts w:ascii="Calibri" w:eastAsia="Calibri" w:hAnsi="Calibri" w:cs="Times New Roman"/>
                <w:sz w:val="24"/>
                <w:szCs w:val="24"/>
              </w:rPr>
              <w:t>X</w:t>
            </w:r>
          </w:p>
        </w:tc>
      </w:tr>
    </w:tbl>
    <w:p w:rsidR="00620E65" w:rsidRPr="008F62DD" w:rsidRDefault="00620E65" w:rsidP="00620E65">
      <w:pPr>
        <w:spacing w:after="0" w:line="276" w:lineRule="auto"/>
        <w:jc w:val="both"/>
        <w:rPr>
          <w:rFonts w:ascii="Calibri" w:eastAsia="Calibri" w:hAnsi="Calibri" w:cs="Times New Roman"/>
          <w:sz w:val="24"/>
          <w:szCs w:val="24"/>
        </w:rPr>
      </w:pPr>
    </w:p>
    <w:p w:rsidR="007452DF" w:rsidRPr="008F62DD" w:rsidRDefault="007452DF" w:rsidP="00620E65">
      <w:pPr>
        <w:spacing w:after="0" w:line="276" w:lineRule="auto"/>
        <w:jc w:val="both"/>
        <w:rPr>
          <w:rFonts w:ascii="Calibri" w:eastAsia="Calibri" w:hAnsi="Calibri" w:cs="Times New Roman"/>
          <w:sz w:val="24"/>
          <w:szCs w:val="24"/>
        </w:rPr>
      </w:pPr>
    </w:p>
    <w:p w:rsidR="00620E65" w:rsidRPr="008F62DD" w:rsidRDefault="00620E65" w:rsidP="00620E65">
      <w:pPr>
        <w:numPr>
          <w:ilvl w:val="0"/>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Recomendamos o input das informações na seguinte sequência:</w:t>
      </w:r>
    </w:p>
    <w:p w:rsidR="00620E65" w:rsidRPr="008F62DD" w:rsidRDefault="00620E65" w:rsidP="00620E65">
      <w:pPr>
        <w:numPr>
          <w:ilvl w:val="1"/>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Preenchimento das Informações Cadastrais</w:t>
      </w:r>
    </w:p>
    <w:p w:rsidR="00620E65" w:rsidRPr="008F62DD" w:rsidRDefault="00620E65" w:rsidP="00620E65">
      <w:pPr>
        <w:numPr>
          <w:ilvl w:val="1"/>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Upload dos documentos</w:t>
      </w:r>
    </w:p>
    <w:p w:rsidR="00620E65" w:rsidRPr="008F62DD" w:rsidRDefault="00620E65" w:rsidP="00620E65">
      <w:pPr>
        <w:numPr>
          <w:ilvl w:val="1"/>
          <w:numId w:val="28"/>
        </w:numPr>
        <w:spacing w:after="0" w:line="276" w:lineRule="auto"/>
        <w:contextualSpacing/>
        <w:jc w:val="both"/>
        <w:rPr>
          <w:rFonts w:ascii="Calibri" w:eastAsia="Calibri" w:hAnsi="Calibri" w:cs="Times New Roman"/>
          <w:sz w:val="24"/>
          <w:szCs w:val="24"/>
        </w:rPr>
      </w:pPr>
      <w:r w:rsidRPr="008F62DD">
        <w:rPr>
          <w:rFonts w:ascii="Calibri" w:eastAsia="Calibri" w:hAnsi="Calibri" w:cs="Times New Roman"/>
          <w:sz w:val="24"/>
          <w:szCs w:val="24"/>
        </w:rPr>
        <w:t>Botão “Salvar”</w:t>
      </w:r>
    </w:p>
    <w:p w:rsidR="00620E65" w:rsidRPr="008F62DD" w:rsidRDefault="00620E65" w:rsidP="00620E65">
      <w:pPr>
        <w:spacing w:line="276" w:lineRule="auto"/>
        <w:jc w:val="center"/>
        <w:rPr>
          <w:b/>
          <w:sz w:val="24"/>
          <w:szCs w:val="24"/>
        </w:rPr>
      </w:pPr>
    </w:p>
    <w:p w:rsidR="00C75833" w:rsidRPr="008F62DD" w:rsidRDefault="00620E65" w:rsidP="00C75F50">
      <w:pPr>
        <w:jc w:val="center"/>
        <w:rPr>
          <w:b/>
          <w:sz w:val="24"/>
          <w:szCs w:val="24"/>
        </w:rPr>
      </w:pPr>
      <w:r w:rsidRPr="008F62DD">
        <w:rPr>
          <w:b/>
          <w:sz w:val="24"/>
          <w:szCs w:val="24"/>
        </w:rPr>
        <w:t>Instruções Operacionais</w:t>
      </w:r>
    </w:p>
    <w:p w:rsidR="00D41A96" w:rsidRPr="008F62DD" w:rsidRDefault="00D41A96" w:rsidP="00620E65">
      <w:pPr>
        <w:spacing w:line="276" w:lineRule="auto"/>
        <w:jc w:val="both"/>
        <w:rPr>
          <w:sz w:val="24"/>
          <w:szCs w:val="24"/>
        </w:rPr>
      </w:pPr>
      <w:r w:rsidRPr="008F62DD">
        <w:rPr>
          <w:sz w:val="24"/>
          <w:szCs w:val="24"/>
        </w:rPr>
        <w:t xml:space="preserve">As Instituições Gestoras e Administradoras de Fundos de Investimentos interessadas no Credenciamento junto a este INSTITUTO por meio eletrônico deverão formalizar este pedido, por meio da solicitação de acesso à plataforma Siru, no endereço eletrônico de e-mail: </w:t>
      </w:r>
      <w:hyperlink r:id="rId9" w:history="1">
        <w:r w:rsidRPr="008F62DD">
          <w:rPr>
            <w:rStyle w:val="Hyperlink"/>
            <w:sz w:val="24"/>
            <w:szCs w:val="24"/>
          </w:rPr>
          <w:t>contato@siru.com.br</w:t>
        </w:r>
      </w:hyperlink>
      <w:r w:rsidRPr="008F62DD">
        <w:rPr>
          <w:sz w:val="24"/>
          <w:szCs w:val="24"/>
        </w:rPr>
        <w:t>, requisitando neste, o login e senha para acesso à plataforma eletrônica Siru.</w:t>
      </w:r>
    </w:p>
    <w:p w:rsidR="00C75833" w:rsidRPr="008F62DD" w:rsidRDefault="00C75833" w:rsidP="00620E65">
      <w:pPr>
        <w:spacing w:line="276" w:lineRule="auto"/>
        <w:jc w:val="both"/>
        <w:rPr>
          <w:sz w:val="24"/>
          <w:szCs w:val="24"/>
        </w:rPr>
      </w:pPr>
      <w:r w:rsidRPr="008F62DD">
        <w:rPr>
          <w:sz w:val="24"/>
          <w:szCs w:val="24"/>
        </w:rPr>
        <w:t>De posse do login e senha de acesso, as Instituições Gestoras e Administradoras de Fundos de Investimentos deverão proceder os seguintes passos:</w:t>
      </w:r>
    </w:p>
    <w:p w:rsidR="00C75833" w:rsidRPr="008F62DD" w:rsidRDefault="00C057DE" w:rsidP="00620E65">
      <w:pPr>
        <w:pStyle w:val="PargrafodaLista"/>
        <w:numPr>
          <w:ilvl w:val="0"/>
          <w:numId w:val="27"/>
        </w:numPr>
        <w:spacing w:line="276" w:lineRule="auto"/>
        <w:jc w:val="both"/>
        <w:rPr>
          <w:sz w:val="24"/>
          <w:szCs w:val="24"/>
        </w:rPr>
      </w:pPr>
      <w:r w:rsidRPr="008F62DD">
        <w:rPr>
          <w:sz w:val="24"/>
          <w:szCs w:val="24"/>
        </w:rPr>
        <w:t xml:space="preserve">Acessar o Portal </w:t>
      </w:r>
      <w:hyperlink r:id="rId10" w:history="1">
        <w:r w:rsidRPr="008F62DD">
          <w:rPr>
            <w:rStyle w:val="Hyperlink"/>
            <w:sz w:val="24"/>
            <w:szCs w:val="24"/>
          </w:rPr>
          <w:t>www.siru.com.br</w:t>
        </w:r>
      </w:hyperlink>
      <w:r w:rsidRPr="008F62DD">
        <w:rPr>
          <w:sz w:val="24"/>
          <w:szCs w:val="24"/>
        </w:rPr>
        <w:t>, entrar com o login e senha disponibilizado na área de “Acesso Restrito”;</w:t>
      </w:r>
    </w:p>
    <w:p w:rsidR="00C057DE" w:rsidRPr="008F62DD" w:rsidRDefault="00C057DE" w:rsidP="00620E65">
      <w:pPr>
        <w:pStyle w:val="PargrafodaLista"/>
        <w:numPr>
          <w:ilvl w:val="0"/>
          <w:numId w:val="27"/>
        </w:numPr>
        <w:spacing w:line="276" w:lineRule="auto"/>
        <w:jc w:val="both"/>
        <w:rPr>
          <w:sz w:val="24"/>
          <w:szCs w:val="24"/>
        </w:rPr>
      </w:pPr>
      <w:r w:rsidRPr="008F62DD">
        <w:rPr>
          <w:sz w:val="24"/>
          <w:szCs w:val="24"/>
        </w:rPr>
        <w:t xml:space="preserve">Ao validar o acesso, será disponibilizada a tela para </w:t>
      </w:r>
      <w:r w:rsidR="00C8679D" w:rsidRPr="008F62DD">
        <w:rPr>
          <w:sz w:val="24"/>
          <w:szCs w:val="24"/>
        </w:rPr>
        <w:t>digitação</w:t>
      </w:r>
      <w:r w:rsidRPr="008F62DD">
        <w:rPr>
          <w:sz w:val="24"/>
          <w:szCs w:val="24"/>
        </w:rPr>
        <w:t xml:space="preserve"> das informações cadastrais necessárias </w:t>
      </w:r>
      <w:r w:rsidR="00C8679D" w:rsidRPr="008F62DD">
        <w:rPr>
          <w:sz w:val="24"/>
          <w:szCs w:val="24"/>
        </w:rPr>
        <w:t>e obrigatórias, que deverão ser preenchidas pela Instituição, a qual fica</w:t>
      </w:r>
      <w:r w:rsidR="0051796A" w:rsidRPr="008F62DD">
        <w:rPr>
          <w:sz w:val="24"/>
          <w:szCs w:val="24"/>
        </w:rPr>
        <w:t>rá</w:t>
      </w:r>
      <w:r w:rsidR="00C8679D" w:rsidRPr="008F62DD">
        <w:rPr>
          <w:sz w:val="24"/>
          <w:szCs w:val="24"/>
        </w:rPr>
        <w:t xml:space="preserve"> responsável pelos dados informados;</w:t>
      </w:r>
    </w:p>
    <w:p w:rsidR="00C75833" w:rsidRPr="008F62DD" w:rsidRDefault="00C8679D" w:rsidP="00620E65">
      <w:pPr>
        <w:pStyle w:val="PargrafodaLista"/>
        <w:numPr>
          <w:ilvl w:val="0"/>
          <w:numId w:val="27"/>
        </w:numPr>
        <w:spacing w:line="276" w:lineRule="auto"/>
        <w:jc w:val="both"/>
        <w:rPr>
          <w:sz w:val="24"/>
          <w:szCs w:val="24"/>
        </w:rPr>
      </w:pPr>
      <w:r w:rsidRPr="008F62DD">
        <w:rPr>
          <w:sz w:val="24"/>
          <w:szCs w:val="24"/>
        </w:rPr>
        <w:t>Após o preenchimento das informações cadastrais, deverão ser anexados, os documentos e formulários obrigatórios</w:t>
      </w:r>
      <w:r w:rsidR="0047327B" w:rsidRPr="008F62DD">
        <w:rPr>
          <w:sz w:val="24"/>
          <w:szCs w:val="24"/>
        </w:rPr>
        <w:t>, nos</w:t>
      </w:r>
      <w:r w:rsidR="00620E65" w:rsidRPr="008F62DD">
        <w:rPr>
          <w:sz w:val="24"/>
          <w:szCs w:val="24"/>
        </w:rPr>
        <w:t xml:space="preserve"> respectivos campos de inserção</w:t>
      </w:r>
      <w:r w:rsidR="0047327B" w:rsidRPr="008F62DD">
        <w:rPr>
          <w:sz w:val="24"/>
          <w:szCs w:val="24"/>
        </w:rPr>
        <w:t>;</w:t>
      </w:r>
    </w:p>
    <w:p w:rsidR="0047327B" w:rsidRPr="008F62DD" w:rsidRDefault="0047327B" w:rsidP="00620E65">
      <w:pPr>
        <w:pStyle w:val="PargrafodaLista"/>
        <w:numPr>
          <w:ilvl w:val="0"/>
          <w:numId w:val="27"/>
        </w:numPr>
        <w:spacing w:line="276" w:lineRule="auto"/>
        <w:jc w:val="both"/>
        <w:rPr>
          <w:sz w:val="24"/>
          <w:szCs w:val="24"/>
        </w:rPr>
      </w:pPr>
      <w:r w:rsidRPr="008F62DD">
        <w:rPr>
          <w:sz w:val="24"/>
          <w:szCs w:val="24"/>
        </w:rPr>
        <w:t xml:space="preserve">Para o anexo “Termo de Análise de Instituição”, caso a Instituição não possua o modelo requisitado, quando do acesso ao sistema, abrirá uma tela com botão de opção para “baixar o modelo”, neste caso, clicando no botão, será baixado o modelo padrão do formulário, o qual, deverá ser totalmente preenchido, rubricado, assinado, </w:t>
      </w:r>
      <w:r w:rsidRPr="008F62DD">
        <w:rPr>
          <w:i/>
          <w:sz w:val="24"/>
          <w:szCs w:val="24"/>
        </w:rPr>
        <w:t>scaneado</w:t>
      </w:r>
      <w:r w:rsidRPr="008F62DD">
        <w:rPr>
          <w:sz w:val="24"/>
          <w:szCs w:val="24"/>
        </w:rPr>
        <w:t xml:space="preserve"> e anexado no sistema, no próprio campo, no botão anexar;</w:t>
      </w:r>
    </w:p>
    <w:p w:rsidR="0047327B" w:rsidRPr="008F62DD" w:rsidRDefault="0047327B" w:rsidP="00620E65">
      <w:pPr>
        <w:pStyle w:val="PargrafodaLista"/>
        <w:numPr>
          <w:ilvl w:val="0"/>
          <w:numId w:val="27"/>
        </w:numPr>
        <w:spacing w:line="276" w:lineRule="auto"/>
        <w:jc w:val="both"/>
        <w:rPr>
          <w:sz w:val="24"/>
          <w:szCs w:val="24"/>
        </w:rPr>
      </w:pPr>
      <w:r w:rsidRPr="008F62DD">
        <w:rPr>
          <w:sz w:val="24"/>
          <w:szCs w:val="24"/>
        </w:rPr>
        <w:t xml:space="preserve">Para o anexo “Termo de Análise de Análise do Fundo”, caso a Instituição não possua o modelo requisitado, quando do acesso ao sistema, abrirá uma tela com botão de opção para “baixar o modelo”, neste caso, clicando no botão, será baixado o modelo padrão do formulário, o qual, deverá ser totalmente preenchido, rubricado, assinado, </w:t>
      </w:r>
      <w:r w:rsidRPr="008F62DD">
        <w:rPr>
          <w:i/>
          <w:sz w:val="24"/>
          <w:szCs w:val="24"/>
        </w:rPr>
        <w:t>scaneado</w:t>
      </w:r>
      <w:r w:rsidRPr="008F62DD">
        <w:rPr>
          <w:sz w:val="24"/>
          <w:szCs w:val="24"/>
        </w:rPr>
        <w:t xml:space="preserve"> e anexado no sistema, no próprio campo, no botão anexar;</w:t>
      </w:r>
    </w:p>
    <w:p w:rsidR="00DD0EC7" w:rsidRPr="008F62DD" w:rsidRDefault="00DD0EC7" w:rsidP="00620E65">
      <w:pPr>
        <w:pStyle w:val="PargrafodaLista"/>
        <w:numPr>
          <w:ilvl w:val="0"/>
          <w:numId w:val="27"/>
        </w:numPr>
        <w:spacing w:line="276" w:lineRule="auto"/>
        <w:jc w:val="both"/>
        <w:rPr>
          <w:sz w:val="24"/>
          <w:szCs w:val="24"/>
        </w:rPr>
      </w:pPr>
      <w:r w:rsidRPr="008F62DD">
        <w:rPr>
          <w:sz w:val="24"/>
          <w:szCs w:val="24"/>
        </w:rPr>
        <w:t xml:space="preserve">Para o anexo “Termo de Análise de Instituição (Distribuidor)”, caso a Instituição não possua o modelo requisitado, quando do acesso ao sistema, abrirá uma tela com botão de opção para “baixar o modelo”, neste caso, clicando no botão, será baixado o modelo padrão do formulário, o qual, deverá ser totalmente preenchido, rubricado, assinado, </w:t>
      </w:r>
      <w:r w:rsidRPr="008F62DD">
        <w:rPr>
          <w:i/>
          <w:sz w:val="24"/>
          <w:szCs w:val="24"/>
        </w:rPr>
        <w:t>scaneado</w:t>
      </w:r>
      <w:r w:rsidRPr="008F62DD">
        <w:rPr>
          <w:sz w:val="24"/>
          <w:szCs w:val="24"/>
        </w:rPr>
        <w:t xml:space="preserve"> e anexado no sistema, no próprio campo, no botão anexar;</w:t>
      </w:r>
    </w:p>
    <w:p w:rsidR="00DD0EC7" w:rsidRPr="008F62DD" w:rsidRDefault="00C32427" w:rsidP="00620E65">
      <w:pPr>
        <w:pStyle w:val="PargrafodaLista"/>
        <w:numPr>
          <w:ilvl w:val="0"/>
          <w:numId w:val="27"/>
        </w:numPr>
        <w:spacing w:after="0" w:line="276" w:lineRule="auto"/>
        <w:jc w:val="both"/>
        <w:rPr>
          <w:sz w:val="24"/>
          <w:szCs w:val="24"/>
        </w:rPr>
      </w:pPr>
      <w:r w:rsidRPr="008F62DD">
        <w:rPr>
          <w:sz w:val="24"/>
          <w:szCs w:val="24"/>
        </w:rPr>
        <w:lastRenderedPageBreak/>
        <w:t xml:space="preserve">Os campos de atestados para anexar deverão todos conter os seus respectivos documentos, caso tenha ausência de algum requisito de cadastro ou de anexos de documentos, </w:t>
      </w:r>
      <w:r w:rsidR="00620E65" w:rsidRPr="008F62DD">
        <w:rPr>
          <w:sz w:val="24"/>
          <w:szCs w:val="24"/>
        </w:rPr>
        <w:t>o sistema não prossegue com o cadastramento, sendo que tem que ser sanado o vício para dar sequência ao credenciamento.</w:t>
      </w:r>
    </w:p>
    <w:p w:rsidR="00C75833" w:rsidRPr="008F62DD" w:rsidRDefault="00620E65" w:rsidP="00812086">
      <w:pPr>
        <w:numPr>
          <w:ilvl w:val="0"/>
          <w:numId w:val="27"/>
        </w:numPr>
        <w:spacing w:after="0" w:line="276" w:lineRule="auto"/>
        <w:contextualSpacing/>
        <w:jc w:val="both"/>
        <w:rPr>
          <w:sz w:val="24"/>
          <w:szCs w:val="24"/>
        </w:rPr>
      </w:pPr>
      <w:r w:rsidRPr="008F62DD">
        <w:rPr>
          <w:rFonts w:ascii="Calibri" w:eastAsia="Calibri" w:hAnsi="Calibri" w:cs="Times New Roman"/>
          <w:sz w:val="24"/>
          <w:szCs w:val="24"/>
        </w:rPr>
        <w:t>Quando acionado o botão “Salvar” o sistema verificará se todas as informações cadastrais foram incluídas e se todos os documentos foram armazenados conforme as opções selecionadas. Estando tudo OK, sem mensagens de inconsistências, estará finalizado o envio das informações para o sistema.</w:t>
      </w:r>
    </w:p>
    <w:sectPr w:rsidR="00C75833" w:rsidRPr="008F62DD" w:rsidSect="003A52B0">
      <w:headerReference w:type="default" r:id="rId11"/>
      <w:footerReference w:type="default" r:id="rId12"/>
      <w:pgSz w:w="11906" w:h="16838"/>
      <w:pgMar w:top="1440" w:right="56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2EC" w:rsidRDefault="009F62EC" w:rsidP="00DF29BC">
      <w:pPr>
        <w:spacing w:after="0" w:line="240" w:lineRule="auto"/>
      </w:pPr>
      <w:r>
        <w:separator/>
      </w:r>
    </w:p>
  </w:endnote>
  <w:endnote w:type="continuationSeparator" w:id="0">
    <w:p w:rsidR="009F62EC" w:rsidRDefault="009F62EC" w:rsidP="00DF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BC" w:rsidRDefault="00DF29BC" w:rsidP="008F62DD">
    <w:pPr>
      <w:pStyle w:val="Rodap"/>
      <w:jc w:val="center"/>
      <w:rPr>
        <w:sz w:val="24"/>
        <w:szCs w:val="20"/>
      </w:rPr>
    </w:pPr>
    <w:r>
      <w:rPr>
        <w:sz w:val="24"/>
      </w:rPr>
      <w:t xml:space="preserve">Rua Marieta Mocellin, 588 – Cep. 87915-000 – Fone (44) 3455-1249 – Santa Mônica - </w:t>
    </w:r>
    <w:proofErr w:type="spellStart"/>
    <w:r>
      <w:rPr>
        <w:sz w:val="24"/>
      </w:rPr>
      <w:t>Pr</w:t>
    </w:r>
    <w:proofErr w:type="spellEnd"/>
  </w:p>
  <w:p w:rsidR="00DF29BC" w:rsidRDefault="00DF29BC" w:rsidP="00DF29B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2EC" w:rsidRDefault="009F62EC" w:rsidP="00DF29BC">
      <w:pPr>
        <w:spacing w:after="0" w:line="240" w:lineRule="auto"/>
      </w:pPr>
      <w:r>
        <w:separator/>
      </w:r>
    </w:p>
  </w:footnote>
  <w:footnote w:type="continuationSeparator" w:id="0">
    <w:p w:rsidR="009F62EC" w:rsidRDefault="009F62EC" w:rsidP="00DF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BC" w:rsidRDefault="00DF29BC" w:rsidP="00DF29BC">
    <w:pPr>
      <w:pStyle w:val="Estilo"/>
      <w:spacing w:line="240" w:lineRule="auto"/>
      <w:jc w:val="center"/>
      <w:rPr>
        <w:rFonts w:ascii="Broadway" w:hAnsi="Broadway"/>
        <w:b/>
        <w:bCs/>
        <w:sz w:val="36"/>
        <w:szCs w:val="36"/>
      </w:rPr>
    </w:pPr>
    <w:r>
      <w:rPr>
        <w:noProof/>
      </w:rPr>
      <w:drawing>
        <wp:anchor distT="0" distB="0" distL="114300" distR="114300" simplePos="0" relativeHeight="251658240" behindDoc="0" locked="0" layoutInCell="1" allowOverlap="1">
          <wp:simplePos x="0" y="0"/>
          <wp:positionH relativeFrom="column">
            <wp:posOffset>304165</wp:posOffset>
          </wp:positionH>
          <wp:positionV relativeFrom="paragraph">
            <wp:posOffset>-34925</wp:posOffset>
          </wp:positionV>
          <wp:extent cx="940435" cy="9404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pic:spPr>
              </pic:pic>
            </a:graphicData>
          </a:graphic>
          <wp14:sizeRelH relativeFrom="page">
            <wp14:pctWidth>0</wp14:pctWidth>
          </wp14:sizeRelH>
          <wp14:sizeRelV relativeFrom="page">
            <wp14:pctHeight>0</wp14:pctHeight>
          </wp14:sizeRelV>
        </wp:anchor>
      </w:drawing>
    </w:r>
    <w:r>
      <w:rPr>
        <w:rFonts w:ascii="Broadway" w:hAnsi="Broadway"/>
        <w:b/>
        <w:bCs/>
        <w:sz w:val="36"/>
        <w:szCs w:val="36"/>
      </w:rPr>
      <w:t>SANTA MONICA PREV</w:t>
    </w:r>
  </w:p>
  <w:p w:rsidR="00DF29BC" w:rsidRDefault="00DF29BC" w:rsidP="00DF29BC">
    <w:pPr>
      <w:pStyle w:val="Cabealho"/>
      <w:widowControl w:val="0"/>
      <w:tabs>
        <w:tab w:val="center" w:pos="4395"/>
      </w:tabs>
      <w:ind w:firstLine="70"/>
      <w:jc w:val="center"/>
      <w:rPr>
        <w:rFonts w:ascii="Calibri" w:hAnsi="Calibri" w:cs="Calibri"/>
        <w:b/>
        <w:bCs/>
        <w:sz w:val="20"/>
        <w:szCs w:val="20"/>
      </w:rPr>
    </w:pPr>
    <w:r>
      <w:rPr>
        <w:rFonts w:ascii="Calibri" w:hAnsi="Calibri" w:cs="Calibri"/>
        <w:b/>
        <w:bCs/>
        <w:sz w:val="20"/>
        <w:szCs w:val="20"/>
      </w:rPr>
      <w:t xml:space="preserve">INSTITUTO DE PREVIDÊNCIA DOS SERVIDORES PÚBLICOS DE SANTA MONICA </w:t>
    </w:r>
  </w:p>
  <w:p w:rsidR="00DF29BC" w:rsidRDefault="00DF29BC" w:rsidP="00DF29BC">
    <w:pPr>
      <w:pStyle w:val="Cabealho"/>
      <w:widowControl w:val="0"/>
      <w:ind w:firstLine="70"/>
      <w:jc w:val="center"/>
      <w:rPr>
        <w:rFonts w:ascii="Calibri" w:hAnsi="Calibri" w:cs="Calibri"/>
        <w:sz w:val="20"/>
        <w:szCs w:val="20"/>
        <w:lang w:val="en-US"/>
      </w:rPr>
    </w:pPr>
    <w:r>
      <w:rPr>
        <w:rFonts w:ascii="Calibri" w:hAnsi="Calibri" w:cs="Calibri"/>
        <w:bCs/>
        <w:sz w:val="20"/>
        <w:szCs w:val="20"/>
      </w:rPr>
      <w:t xml:space="preserve">Santa Mônica </w:t>
    </w:r>
    <w:r>
      <w:rPr>
        <w:rFonts w:ascii="Calibri" w:hAnsi="Calibri" w:cs="Calibri"/>
        <w:b/>
        <w:bCs/>
        <w:sz w:val="20"/>
        <w:szCs w:val="20"/>
      </w:rPr>
      <w:t xml:space="preserve">- </w:t>
    </w:r>
    <w:r>
      <w:rPr>
        <w:rFonts w:ascii="Calibri" w:hAnsi="Calibri" w:cs="Calibri"/>
        <w:sz w:val="20"/>
        <w:szCs w:val="20"/>
      </w:rPr>
      <w:t>Estado do Paraná</w:t>
    </w:r>
  </w:p>
  <w:p w:rsidR="00DF29BC" w:rsidRDefault="00DF29BC" w:rsidP="00DF29BC">
    <w:pPr>
      <w:pStyle w:val="Cabealho"/>
      <w:widowControl w:val="0"/>
      <w:ind w:firstLine="70"/>
      <w:jc w:val="center"/>
      <w:rPr>
        <w:rFonts w:ascii="Calibri" w:hAnsi="Calibri" w:cs="Calibri"/>
        <w:sz w:val="20"/>
        <w:szCs w:val="20"/>
      </w:rPr>
    </w:pPr>
    <w:r>
      <w:rPr>
        <w:rFonts w:ascii="Calibri" w:hAnsi="Calibri" w:cs="Calibri"/>
        <w:sz w:val="20"/>
        <w:szCs w:val="20"/>
      </w:rPr>
      <w:t>CNPJ 05.051.306/0001-90</w:t>
    </w:r>
  </w:p>
  <w:p w:rsidR="00DF29BC" w:rsidRDefault="00DF29BC" w:rsidP="00DF29BC">
    <w:pPr>
      <w:pStyle w:val="Cabealho"/>
      <w:widowControl w:val="0"/>
      <w:ind w:hanging="110"/>
      <w:jc w:val="center"/>
      <w:rPr>
        <w:rFonts w:ascii="Calibri" w:hAnsi="Calibri" w:cs="Calibri"/>
        <w:sz w:val="20"/>
        <w:szCs w:val="20"/>
      </w:rPr>
    </w:pPr>
    <w:r>
      <w:rPr>
        <w:rFonts w:ascii="Calibri" w:hAnsi="Calibri" w:cs="Calibri"/>
        <w:sz w:val="20"/>
        <w:szCs w:val="20"/>
      </w:rPr>
      <w:t xml:space="preserve">E-mail: </w:t>
    </w:r>
    <w:hyperlink r:id="rId2" w:history="1">
      <w:r>
        <w:rPr>
          <w:rStyle w:val="Hyperlink"/>
          <w:rFonts w:ascii="Calibri" w:hAnsi="Calibri" w:cs="Calibri"/>
          <w:sz w:val="20"/>
          <w:szCs w:val="20"/>
        </w:rPr>
        <w:t>previdencia@santamonicaprev.com.br</w:t>
      </w:r>
    </w:hyperlink>
  </w:p>
  <w:p w:rsidR="00DF29BC" w:rsidRDefault="00DF29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45A2EAA"/>
    <w:multiLevelType w:val="hybridMultilevel"/>
    <w:tmpl w:val="858AA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52C30BB"/>
    <w:multiLevelType w:val="hybridMultilevel"/>
    <w:tmpl w:val="27DCA1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014D4A"/>
    <w:multiLevelType w:val="hybridMultilevel"/>
    <w:tmpl w:val="530432CA"/>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34C81327"/>
    <w:multiLevelType w:val="hybridMultilevel"/>
    <w:tmpl w:val="D724F876"/>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4"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1CF40D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3151A1"/>
    <w:multiLevelType w:val="multilevel"/>
    <w:tmpl w:val="D5DE571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20"/>
  </w:num>
  <w:num w:numId="2">
    <w:abstractNumId w:val="18"/>
  </w:num>
  <w:num w:numId="3">
    <w:abstractNumId w:val="14"/>
  </w:num>
  <w:num w:numId="4">
    <w:abstractNumId w:val="27"/>
  </w:num>
  <w:num w:numId="5">
    <w:abstractNumId w:val="12"/>
  </w:num>
  <w:num w:numId="6">
    <w:abstractNumId w:val="25"/>
  </w:num>
  <w:num w:numId="7">
    <w:abstractNumId w:val="2"/>
  </w:num>
  <w:num w:numId="8">
    <w:abstractNumId w:val="22"/>
  </w:num>
  <w:num w:numId="9">
    <w:abstractNumId w:val="6"/>
  </w:num>
  <w:num w:numId="10">
    <w:abstractNumId w:val="24"/>
  </w:num>
  <w:num w:numId="11">
    <w:abstractNumId w:val="21"/>
  </w:num>
  <w:num w:numId="12">
    <w:abstractNumId w:val="23"/>
  </w:num>
  <w:num w:numId="13">
    <w:abstractNumId w:val="5"/>
  </w:num>
  <w:num w:numId="14">
    <w:abstractNumId w:val="26"/>
  </w:num>
  <w:num w:numId="15">
    <w:abstractNumId w:val="19"/>
  </w:num>
  <w:num w:numId="16">
    <w:abstractNumId w:val="16"/>
  </w:num>
  <w:num w:numId="17">
    <w:abstractNumId w:val="15"/>
  </w:num>
  <w:num w:numId="18">
    <w:abstractNumId w:val="13"/>
  </w:num>
  <w:num w:numId="19">
    <w:abstractNumId w:val="0"/>
  </w:num>
  <w:num w:numId="20">
    <w:abstractNumId w:val="4"/>
  </w:num>
  <w:num w:numId="21">
    <w:abstractNumId w:val="17"/>
  </w:num>
  <w:num w:numId="22">
    <w:abstractNumId w:val="9"/>
  </w:num>
  <w:num w:numId="23">
    <w:abstractNumId w:val="7"/>
  </w:num>
  <w:num w:numId="24">
    <w:abstractNumId w:val="3"/>
  </w:num>
  <w:num w:numId="25">
    <w:abstractNumId w:val="10"/>
  </w:num>
  <w:num w:numId="26">
    <w:abstractNumId w:val="1"/>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71"/>
    <w:rsid w:val="00007CB5"/>
    <w:rsid w:val="00020F86"/>
    <w:rsid w:val="000872D0"/>
    <w:rsid w:val="000C020E"/>
    <w:rsid w:val="001460E8"/>
    <w:rsid w:val="001C7143"/>
    <w:rsid w:val="00204718"/>
    <w:rsid w:val="00216005"/>
    <w:rsid w:val="002349E8"/>
    <w:rsid w:val="00270BCC"/>
    <w:rsid w:val="0027431A"/>
    <w:rsid w:val="00297D52"/>
    <w:rsid w:val="002D2FF9"/>
    <w:rsid w:val="002E71F6"/>
    <w:rsid w:val="00300F7F"/>
    <w:rsid w:val="003A52B0"/>
    <w:rsid w:val="003B0A04"/>
    <w:rsid w:val="003C70B4"/>
    <w:rsid w:val="00414620"/>
    <w:rsid w:val="00426935"/>
    <w:rsid w:val="00435E56"/>
    <w:rsid w:val="004513A4"/>
    <w:rsid w:val="00453A67"/>
    <w:rsid w:val="0047327B"/>
    <w:rsid w:val="00475B49"/>
    <w:rsid w:val="004C585A"/>
    <w:rsid w:val="004F13D7"/>
    <w:rsid w:val="00517046"/>
    <w:rsid w:val="0051796A"/>
    <w:rsid w:val="00540470"/>
    <w:rsid w:val="005C6781"/>
    <w:rsid w:val="00620E65"/>
    <w:rsid w:val="0062493D"/>
    <w:rsid w:val="00643BED"/>
    <w:rsid w:val="00691A4D"/>
    <w:rsid w:val="006D57CE"/>
    <w:rsid w:val="006E33B5"/>
    <w:rsid w:val="00715AAA"/>
    <w:rsid w:val="00737107"/>
    <w:rsid w:val="007411E6"/>
    <w:rsid w:val="007452DF"/>
    <w:rsid w:val="00776542"/>
    <w:rsid w:val="007C6670"/>
    <w:rsid w:val="007F01AB"/>
    <w:rsid w:val="007F0245"/>
    <w:rsid w:val="007F168C"/>
    <w:rsid w:val="008B55EB"/>
    <w:rsid w:val="008D410C"/>
    <w:rsid w:val="008D6290"/>
    <w:rsid w:val="008F62DD"/>
    <w:rsid w:val="009569AD"/>
    <w:rsid w:val="00956F9F"/>
    <w:rsid w:val="009F62EC"/>
    <w:rsid w:val="00A00387"/>
    <w:rsid w:val="00A92799"/>
    <w:rsid w:val="00AB2657"/>
    <w:rsid w:val="00AB6E71"/>
    <w:rsid w:val="00B01DB6"/>
    <w:rsid w:val="00B25348"/>
    <w:rsid w:val="00BB44BC"/>
    <w:rsid w:val="00BC6146"/>
    <w:rsid w:val="00C057DE"/>
    <w:rsid w:val="00C12AC6"/>
    <w:rsid w:val="00C32427"/>
    <w:rsid w:val="00C53E55"/>
    <w:rsid w:val="00C56D13"/>
    <w:rsid w:val="00C75833"/>
    <w:rsid w:val="00C75F50"/>
    <w:rsid w:val="00C8679D"/>
    <w:rsid w:val="00D35A0E"/>
    <w:rsid w:val="00D41A96"/>
    <w:rsid w:val="00D96214"/>
    <w:rsid w:val="00DB5004"/>
    <w:rsid w:val="00DD0EC7"/>
    <w:rsid w:val="00DD1008"/>
    <w:rsid w:val="00DE11FB"/>
    <w:rsid w:val="00DF29BC"/>
    <w:rsid w:val="00E36D0E"/>
    <w:rsid w:val="00E60C26"/>
    <w:rsid w:val="00F137F6"/>
    <w:rsid w:val="00F138BB"/>
    <w:rsid w:val="00F278A5"/>
    <w:rsid w:val="00F45C64"/>
    <w:rsid w:val="00F60196"/>
    <w:rsid w:val="00F63289"/>
    <w:rsid w:val="00F91CC1"/>
    <w:rsid w:val="00FA26B6"/>
    <w:rsid w:val="00FC74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C874AE-1F4C-4EDB-B5F5-5BBABBEF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C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1008"/>
    <w:pPr>
      <w:ind w:left="720"/>
      <w:contextualSpacing/>
    </w:pPr>
  </w:style>
  <w:style w:type="paragraph" w:styleId="Textodebalo">
    <w:name w:val="Balloon Text"/>
    <w:basedOn w:val="Normal"/>
    <w:link w:val="TextodebaloChar"/>
    <w:uiPriority w:val="99"/>
    <w:semiHidden/>
    <w:unhideWhenUsed/>
    <w:rsid w:val="00C75F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5F50"/>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C75F50"/>
    <w:rPr>
      <w:sz w:val="20"/>
      <w:szCs w:val="20"/>
    </w:rPr>
  </w:style>
  <w:style w:type="paragraph" w:styleId="Textodenotaderodap">
    <w:name w:val="footnote text"/>
    <w:basedOn w:val="Normal"/>
    <w:link w:val="TextodenotaderodapChar"/>
    <w:uiPriority w:val="99"/>
    <w:semiHidden/>
    <w:unhideWhenUsed/>
    <w:rsid w:val="00C75F50"/>
    <w:pPr>
      <w:spacing w:after="0" w:line="240" w:lineRule="auto"/>
    </w:pPr>
    <w:rPr>
      <w:sz w:val="20"/>
      <w:szCs w:val="20"/>
    </w:rPr>
  </w:style>
  <w:style w:type="paragraph" w:styleId="Cabealho">
    <w:name w:val="header"/>
    <w:basedOn w:val="Normal"/>
    <w:link w:val="CabealhoChar"/>
    <w:unhideWhenUsed/>
    <w:rsid w:val="00C75F50"/>
    <w:pPr>
      <w:tabs>
        <w:tab w:val="center" w:pos="4252"/>
        <w:tab w:val="right" w:pos="8504"/>
      </w:tabs>
      <w:spacing w:after="0" w:line="240" w:lineRule="auto"/>
    </w:pPr>
  </w:style>
  <w:style w:type="character" w:customStyle="1" w:styleId="CabealhoChar">
    <w:name w:val="Cabeçalho Char"/>
    <w:basedOn w:val="Fontepargpadro"/>
    <w:link w:val="Cabealho"/>
    <w:rsid w:val="00C75F50"/>
  </w:style>
  <w:style w:type="paragraph" w:styleId="Rodap">
    <w:name w:val="footer"/>
    <w:basedOn w:val="Normal"/>
    <w:link w:val="RodapChar"/>
    <w:unhideWhenUsed/>
    <w:rsid w:val="00C75F50"/>
    <w:pPr>
      <w:tabs>
        <w:tab w:val="center" w:pos="4252"/>
        <w:tab w:val="right" w:pos="8504"/>
      </w:tabs>
      <w:spacing w:after="0" w:line="240" w:lineRule="auto"/>
    </w:pPr>
  </w:style>
  <w:style w:type="character" w:customStyle="1" w:styleId="RodapChar">
    <w:name w:val="Rodapé Char"/>
    <w:basedOn w:val="Fontepargpadro"/>
    <w:link w:val="Rodap"/>
    <w:rsid w:val="00C75F50"/>
  </w:style>
  <w:style w:type="paragraph" w:customStyle="1" w:styleId="Default">
    <w:name w:val="Default"/>
    <w:rsid w:val="00C75F50"/>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C75F50"/>
    <w:rPr>
      <w:b/>
      <w:bCs/>
      <w:smallCaps/>
      <w:spacing w:val="5"/>
    </w:rPr>
  </w:style>
  <w:style w:type="character" w:customStyle="1" w:styleId="TextodecomentrioChar">
    <w:name w:val="Texto de comentário Char"/>
    <w:basedOn w:val="Fontepargpadro"/>
    <w:link w:val="Textodecomentrio"/>
    <w:uiPriority w:val="99"/>
    <w:semiHidden/>
    <w:rsid w:val="00C75F50"/>
    <w:rPr>
      <w:sz w:val="20"/>
      <w:szCs w:val="20"/>
    </w:rPr>
  </w:style>
  <w:style w:type="paragraph" w:styleId="Textodecomentrio">
    <w:name w:val="annotation text"/>
    <w:basedOn w:val="Normal"/>
    <w:link w:val="TextodecomentrioChar"/>
    <w:uiPriority w:val="99"/>
    <w:semiHidden/>
    <w:unhideWhenUsed/>
    <w:rsid w:val="00C75F50"/>
    <w:pPr>
      <w:spacing w:after="200"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C75F50"/>
    <w:rPr>
      <w:b/>
      <w:bCs/>
      <w:sz w:val="20"/>
      <w:szCs w:val="20"/>
    </w:rPr>
  </w:style>
  <w:style w:type="paragraph" w:styleId="Assuntodocomentrio">
    <w:name w:val="annotation subject"/>
    <w:basedOn w:val="Textodecomentrio"/>
    <w:next w:val="Textodecomentrio"/>
    <w:link w:val="AssuntodocomentrioChar"/>
    <w:uiPriority w:val="99"/>
    <w:semiHidden/>
    <w:unhideWhenUsed/>
    <w:rsid w:val="00C75F50"/>
    <w:rPr>
      <w:b/>
      <w:bCs/>
    </w:rPr>
  </w:style>
  <w:style w:type="character" w:styleId="Hyperlink">
    <w:name w:val="Hyperlink"/>
    <w:basedOn w:val="Fontepargpadro"/>
    <w:uiPriority w:val="99"/>
    <w:unhideWhenUsed/>
    <w:rsid w:val="00C75F50"/>
    <w:rPr>
      <w:color w:val="0563C1" w:themeColor="hyperlink"/>
      <w:u w:val="single"/>
    </w:rPr>
  </w:style>
  <w:style w:type="table" w:customStyle="1" w:styleId="Tabelacomgrade1">
    <w:name w:val="Tabela com grade1"/>
    <w:basedOn w:val="Tabelanormal"/>
    <w:next w:val="Tabelacomgrade"/>
    <w:uiPriority w:val="59"/>
    <w:rsid w:val="003A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41A96"/>
    <w:rPr>
      <w:color w:val="808080"/>
      <w:shd w:val="clear" w:color="auto" w:fill="E6E6E6"/>
    </w:rPr>
  </w:style>
  <w:style w:type="character" w:styleId="HiperlinkVisitado">
    <w:name w:val="FollowedHyperlink"/>
    <w:basedOn w:val="Fontepargpadro"/>
    <w:uiPriority w:val="99"/>
    <w:semiHidden/>
    <w:unhideWhenUsed/>
    <w:rsid w:val="00D41A96"/>
    <w:rPr>
      <w:color w:val="954F72" w:themeColor="followedHyperlink"/>
      <w:u w:val="single"/>
    </w:rPr>
  </w:style>
  <w:style w:type="paragraph" w:customStyle="1" w:styleId="Estilo">
    <w:name w:val="Estilo"/>
    <w:rsid w:val="00DF29BC"/>
    <w:pPr>
      <w:widowControl w:val="0"/>
      <w:autoSpaceDE w:val="0"/>
      <w:autoSpaceDN w:val="0"/>
      <w:adjustRightInd w:val="0"/>
      <w:spacing w:after="0" w:line="480" w:lineRule="auto"/>
      <w:jc w:val="right"/>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17603">
      <w:bodyDiv w:val="1"/>
      <w:marLeft w:val="0"/>
      <w:marRight w:val="0"/>
      <w:marTop w:val="0"/>
      <w:marBottom w:val="0"/>
      <w:divBdr>
        <w:top w:val="none" w:sz="0" w:space="0" w:color="auto"/>
        <w:left w:val="none" w:sz="0" w:space="0" w:color="auto"/>
        <w:bottom w:val="none" w:sz="0" w:space="0" w:color="auto"/>
        <w:right w:val="none" w:sz="0" w:space="0" w:color="auto"/>
      </w:divBdr>
    </w:div>
    <w:div w:id="16384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siru.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iru.com.br" TargetMode="External"/><Relationship Id="rId4" Type="http://schemas.openxmlformats.org/officeDocument/2006/relationships/settings" Target="settings.xml"/><Relationship Id="rId9" Type="http://schemas.openxmlformats.org/officeDocument/2006/relationships/hyperlink" Target="mailto:contato@siru.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evidencia@santamonicaprev.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AF74-C73A-4C20-A021-60974DDE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2380</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SIRU</dc:creator>
  <cp:lastModifiedBy>Ailton Cordeiro</cp:lastModifiedBy>
  <cp:revision>5</cp:revision>
  <cp:lastPrinted>2016-10-07T17:40:00Z</cp:lastPrinted>
  <dcterms:created xsi:type="dcterms:W3CDTF">2019-04-03T19:43:00Z</dcterms:created>
  <dcterms:modified xsi:type="dcterms:W3CDTF">2019-04-10T17:23:00Z</dcterms:modified>
</cp:coreProperties>
</file>